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4BB3F" w14:textId="1593812F" w:rsidR="004A2DD4" w:rsidRPr="008F68EC" w:rsidRDefault="004A2DD4" w:rsidP="004A2DD4">
      <w:pPr>
        <w:pStyle w:val="Heading1"/>
        <w:spacing w:before="0" w:line="360" w:lineRule="auto"/>
        <w:jc w:val="center"/>
        <w:rPr>
          <w:rFonts w:cstheme="majorHAnsi"/>
          <w:color w:val="000000" w:themeColor="text1"/>
        </w:rPr>
      </w:pPr>
      <w:r w:rsidRPr="008F68EC">
        <w:rPr>
          <w:rFonts w:cstheme="majorHAnsi"/>
          <w:color w:val="000000" w:themeColor="text1"/>
        </w:rPr>
        <w:t>TECHNICAL SPECIFICATION</w:t>
      </w:r>
    </w:p>
    <w:p w14:paraId="15C03874" w14:textId="40DB00B5" w:rsidR="004A2DD4" w:rsidRPr="008F68EC" w:rsidRDefault="004A2DD4" w:rsidP="004A2DD4">
      <w:pPr>
        <w:pBdr>
          <w:top w:val="single" w:sz="8" w:space="1" w:color="auto"/>
          <w:bottom w:val="single" w:sz="8" w:space="1" w:color="auto"/>
        </w:pBdr>
        <w:spacing w:before="60" w:after="60" w:line="240" w:lineRule="auto"/>
        <w:rPr>
          <w:rFonts w:asciiTheme="majorHAnsi" w:hAnsiTheme="majorHAnsi" w:cstheme="majorHAnsi"/>
          <w:b/>
          <w:bCs/>
        </w:rPr>
      </w:pPr>
      <w:r w:rsidRPr="008F68EC">
        <w:rPr>
          <w:rFonts w:asciiTheme="majorHAnsi" w:hAnsiTheme="majorHAnsi" w:cstheme="majorHAnsi"/>
          <w:b/>
          <w:bCs/>
        </w:rPr>
        <w:t>1. DEFINITIONS AND ABBREVIATIONS</w:t>
      </w:r>
    </w:p>
    <w:p w14:paraId="04609B16" w14:textId="34FD5885" w:rsidR="004A2DD4" w:rsidRPr="008F68EC" w:rsidRDefault="004A2DD4" w:rsidP="004A2DD4">
      <w:pPr>
        <w:spacing w:after="0" w:line="360" w:lineRule="auto"/>
        <w:jc w:val="both"/>
        <w:rPr>
          <w:rFonts w:asciiTheme="majorHAnsi" w:hAnsiTheme="majorHAnsi" w:cstheme="majorHAnsi"/>
          <w:b/>
          <w:bCs/>
        </w:rPr>
      </w:pPr>
      <w:r w:rsidRPr="008F68EC">
        <w:rPr>
          <w:rFonts w:asciiTheme="majorHAnsi" w:hAnsiTheme="majorHAnsi" w:cstheme="majorHAnsi"/>
          <w:b/>
          <w:bCs/>
        </w:rPr>
        <w:t xml:space="preserve">Buyer/Client </w:t>
      </w:r>
      <w:r w:rsidRPr="008F68EC">
        <w:rPr>
          <w:rFonts w:asciiTheme="majorHAnsi" w:hAnsiTheme="majorHAnsi" w:cstheme="majorHAnsi"/>
        </w:rPr>
        <w:t xml:space="preserve">– AB “Amber Grid”, a company legally registered and operating under the laws of the Republic of Lithuania, company code 303090867, address: Laisvės Ave. 10, Vilnius, Lithuania. More information about the Buyer and its activities can be found at </w:t>
      </w:r>
      <w:hyperlink r:id="rId7" w:history="1">
        <w:r w:rsidRPr="008F68EC">
          <w:rPr>
            <w:rStyle w:val="Hyperlink"/>
            <w:rFonts w:asciiTheme="majorHAnsi" w:hAnsiTheme="majorHAnsi" w:cstheme="majorHAnsi"/>
          </w:rPr>
          <w:t>www.ambergrid.lt</w:t>
        </w:r>
      </w:hyperlink>
      <w:r w:rsidRPr="008F68EC">
        <w:rPr>
          <w:rFonts w:asciiTheme="majorHAnsi" w:hAnsiTheme="majorHAnsi" w:cstheme="majorHAnsi"/>
        </w:rPr>
        <w:t>.</w:t>
      </w:r>
    </w:p>
    <w:p w14:paraId="3D70EBEF" w14:textId="77777777" w:rsidR="004A2DD4" w:rsidRPr="008F68EC" w:rsidRDefault="004A2DD4" w:rsidP="004A2DD4">
      <w:pPr>
        <w:spacing w:after="0" w:line="360" w:lineRule="auto"/>
        <w:jc w:val="both"/>
        <w:rPr>
          <w:rFonts w:asciiTheme="majorHAnsi" w:hAnsiTheme="majorHAnsi" w:cstheme="majorHAnsi"/>
          <w:b/>
          <w:bCs/>
        </w:rPr>
      </w:pPr>
      <w:r w:rsidRPr="008F68EC">
        <w:rPr>
          <w:rFonts w:asciiTheme="majorHAnsi" w:hAnsiTheme="majorHAnsi" w:cstheme="majorHAnsi"/>
          <w:b/>
          <w:bCs/>
        </w:rPr>
        <w:t xml:space="preserve">Supplier/Service Provider – </w:t>
      </w:r>
      <w:r w:rsidRPr="008F68EC">
        <w:rPr>
          <w:rFonts w:asciiTheme="majorHAnsi" w:hAnsiTheme="majorHAnsi" w:cstheme="majorHAnsi"/>
        </w:rPr>
        <w:t>any economic operator capable of supplying Guarantees of Origin for renewable gas that comply with the requirements of the legal acts of the Republic of Lithuania</w:t>
      </w:r>
      <w:r w:rsidRPr="008F68EC">
        <w:rPr>
          <w:rFonts w:asciiTheme="majorHAnsi" w:hAnsiTheme="majorHAnsi" w:cstheme="majorHAnsi"/>
          <w:b/>
          <w:bCs/>
        </w:rPr>
        <w:t>.</w:t>
      </w:r>
    </w:p>
    <w:p w14:paraId="044458CA" w14:textId="47DDE427"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b/>
          <w:bCs/>
        </w:rPr>
        <w:t>Contract</w:t>
      </w:r>
      <w:r w:rsidRPr="008F68EC">
        <w:rPr>
          <w:rFonts w:asciiTheme="majorHAnsi" w:hAnsiTheme="majorHAnsi" w:cstheme="majorHAnsi"/>
        </w:rPr>
        <w:t xml:space="preserve"> – the agreement concluded by the Client with the Service Provider who is awarded the contract for the Procurement Object.</w:t>
      </w:r>
    </w:p>
    <w:p w14:paraId="4D0EF847" w14:textId="673A77BD"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b/>
          <w:bCs/>
        </w:rPr>
        <w:t>Guarantee of Origin for energy from renewable sources</w:t>
      </w:r>
      <w:r w:rsidRPr="008F68EC">
        <w:rPr>
          <w:rFonts w:asciiTheme="majorHAnsi" w:hAnsiTheme="majorHAnsi" w:cstheme="majorHAnsi"/>
        </w:rPr>
        <w:t xml:space="preserve"> (hereinafter – Guarantee of Origin) – an electronic document whose sole purpose is to prove to the final consumer that all or part of the energy was produced from renewable energy sources. This concept complies with the requirements of Article 2(4) of the Law of the Republic of Lithuania on Renewable Energy (No. XI</w:t>
      </w:r>
      <w:r w:rsidRPr="008F68EC">
        <w:rPr>
          <w:rFonts w:ascii="Cambria Math" w:hAnsi="Cambria Math" w:cs="Cambria Math"/>
        </w:rPr>
        <w:t>‑</w:t>
      </w:r>
      <w:r w:rsidRPr="008F68EC">
        <w:rPr>
          <w:rFonts w:asciiTheme="majorHAnsi" w:hAnsiTheme="majorHAnsi" w:cstheme="majorHAnsi"/>
        </w:rPr>
        <w:t>1375) of 12 May 2011.</w:t>
      </w:r>
    </w:p>
    <w:p w14:paraId="52578CCA" w14:textId="2E99ED2C"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b/>
          <w:bCs/>
        </w:rPr>
        <w:t>Renewable energy</w:t>
      </w:r>
      <w:r w:rsidRPr="008F68EC">
        <w:rPr>
          <w:rFonts w:asciiTheme="majorHAnsi" w:hAnsiTheme="majorHAnsi" w:cstheme="majorHAnsi"/>
        </w:rPr>
        <w:t xml:space="preserve"> (hereinafter – </w:t>
      </w:r>
      <w:r w:rsidRPr="008F68EC">
        <w:rPr>
          <w:rFonts w:asciiTheme="majorHAnsi" w:hAnsiTheme="majorHAnsi" w:cstheme="majorHAnsi"/>
          <w:b/>
          <w:bCs/>
        </w:rPr>
        <w:t>RES</w:t>
      </w:r>
      <w:r w:rsidRPr="008F68EC">
        <w:rPr>
          <w:rFonts w:asciiTheme="majorHAnsi" w:hAnsiTheme="majorHAnsi" w:cstheme="majorHAnsi"/>
        </w:rPr>
        <w:t>) – energy derived from non</w:t>
      </w:r>
      <w:r w:rsidRPr="008F68EC">
        <w:rPr>
          <w:rFonts w:ascii="Cambria Math" w:hAnsi="Cambria Math" w:cs="Cambria Math"/>
        </w:rPr>
        <w:t>‑</w:t>
      </w:r>
      <w:r w:rsidRPr="008F68EC">
        <w:rPr>
          <w:rFonts w:asciiTheme="majorHAnsi" w:hAnsiTheme="majorHAnsi" w:cstheme="majorHAnsi"/>
        </w:rPr>
        <w:t>fossil renewable sources: wind, solar energy, aerothermal, geothermal, hydrothermal resources and ocean energy, hydropower, biomass, biogas, including landfill gas and sewage treatment plant gas, as well as energy from other non</w:t>
      </w:r>
      <w:r w:rsidRPr="008F68EC">
        <w:rPr>
          <w:rFonts w:ascii="Cambria Math" w:hAnsi="Cambria Math" w:cs="Cambria Math"/>
        </w:rPr>
        <w:t>‑</w:t>
      </w:r>
      <w:r w:rsidRPr="008F68EC">
        <w:rPr>
          <w:rFonts w:asciiTheme="majorHAnsi" w:hAnsiTheme="majorHAnsi" w:cstheme="majorHAnsi"/>
        </w:rPr>
        <w:t>fossil renewable resources that can be used with current or future technologies</w:t>
      </w:r>
    </w:p>
    <w:p w14:paraId="03C108CA" w14:textId="569F5B07"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b/>
          <w:bCs/>
        </w:rPr>
        <w:t>Designated entity</w:t>
      </w:r>
      <w:r w:rsidRPr="008F68EC">
        <w:rPr>
          <w:rFonts w:asciiTheme="majorHAnsi" w:hAnsiTheme="majorHAnsi" w:cstheme="majorHAnsi"/>
        </w:rPr>
        <w:t xml:space="preserve"> – the Lithuanian natural gas transmission system operator AB “Amber Grid”.</w:t>
      </w:r>
    </w:p>
    <w:p w14:paraId="1F7AD3F9" w14:textId="77B87E0B"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b/>
          <w:bCs/>
        </w:rPr>
        <w:t xml:space="preserve">Register </w:t>
      </w:r>
      <w:r w:rsidRPr="008F68EC">
        <w:rPr>
          <w:rFonts w:asciiTheme="majorHAnsi" w:hAnsiTheme="majorHAnsi" w:cstheme="majorHAnsi"/>
        </w:rPr>
        <w:t>– the Electronic Register of Guarantees of Origin for green gas. A link to the Register is provided here: https://grex.grexel.com/en/public/home</w:t>
      </w:r>
    </w:p>
    <w:p w14:paraId="4622BFD6" w14:textId="7A8DB7F0" w:rsidR="004A2DD4" w:rsidRPr="008F68EC" w:rsidRDefault="004A2DD4" w:rsidP="004A2DD4">
      <w:pPr>
        <w:pBdr>
          <w:top w:val="single" w:sz="8" w:space="1" w:color="auto"/>
          <w:bottom w:val="single" w:sz="8" w:space="1" w:color="auto"/>
        </w:pBdr>
        <w:spacing w:before="60" w:after="60" w:line="240" w:lineRule="auto"/>
        <w:rPr>
          <w:rFonts w:asciiTheme="majorHAnsi" w:hAnsiTheme="majorHAnsi" w:cstheme="majorHAnsi"/>
          <w:b/>
          <w:bCs/>
        </w:rPr>
      </w:pPr>
      <w:r w:rsidRPr="008F68EC">
        <w:rPr>
          <w:rFonts w:asciiTheme="majorHAnsi" w:hAnsiTheme="majorHAnsi" w:cstheme="majorHAnsi"/>
          <w:b/>
          <w:bCs/>
        </w:rPr>
        <w:t>2. OBJECT OF THE PROCUREMENT</w:t>
      </w:r>
    </w:p>
    <w:p w14:paraId="3E26606A" w14:textId="50BD9E13" w:rsidR="004A2DD4" w:rsidRPr="008F68EC" w:rsidRDefault="004A2DD4" w:rsidP="004A2DD4">
      <w:pPr>
        <w:pStyle w:val="Heading2"/>
        <w:spacing w:before="0" w:line="360" w:lineRule="auto"/>
        <w:jc w:val="both"/>
        <w:rPr>
          <w:rFonts w:eastAsiaTheme="minorEastAsia" w:cstheme="majorHAnsi"/>
          <w:color w:val="auto"/>
          <w:sz w:val="22"/>
          <w:szCs w:val="22"/>
        </w:rPr>
      </w:pPr>
      <w:r w:rsidRPr="008F68EC">
        <w:rPr>
          <w:rFonts w:eastAsiaTheme="minorEastAsia" w:cstheme="majorHAnsi"/>
          <w:color w:val="auto"/>
          <w:sz w:val="22"/>
          <w:szCs w:val="22"/>
        </w:rPr>
        <w:t>2.1. AB “Amber Grid”, seeking to contribute to the implementation of the national and European Union climate strategy, plans to replace part of the natural gas consumed in compressor stations with biomethane and is organizing the procurement of Guarantees of Origin for green gas confirming that the gas was produced from renewable energy sources.</w:t>
      </w:r>
    </w:p>
    <w:p w14:paraId="614D9D05" w14:textId="366B0E4A" w:rsidR="004A2DD4" w:rsidRPr="008F68EC" w:rsidRDefault="004A2DD4" w:rsidP="004A2DD4">
      <w:pPr>
        <w:pStyle w:val="ListParagraph"/>
        <w:spacing w:after="0" w:line="360" w:lineRule="auto"/>
        <w:ind w:left="0"/>
        <w:jc w:val="both"/>
        <w:rPr>
          <w:rFonts w:asciiTheme="majorHAnsi" w:hAnsiTheme="majorHAnsi" w:cstheme="majorHAnsi"/>
        </w:rPr>
      </w:pPr>
      <w:r w:rsidRPr="008F68EC">
        <w:rPr>
          <w:rFonts w:asciiTheme="majorHAnsi" w:hAnsiTheme="majorHAnsi" w:cstheme="majorHAnsi"/>
        </w:rPr>
        <w:t>2.2.</w:t>
      </w:r>
      <w:r w:rsidRPr="008F68EC">
        <w:rPr>
          <w:rFonts w:asciiTheme="majorHAnsi" w:hAnsiTheme="majorHAnsi" w:cstheme="majorHAnsi"/>
          <w:b/>
          <w:bCs/>
        </w:rPr>
        <w:t xml:space="preserve"> The object of the procurement</w:t>
      </w:r>
      <w:r w:rsidRPr="008F68EC">
        <w:rPr>
          <w:rFonts w:asciiTheme="majorHAnsi" w:hAnsiTheme="majorHAnsi" w:cstheme="majorHAnsi"/>
        </w:rPr>
        <w:t xml:space="preserve"> is Guarantees of Origin for green gas, confirming that the gas was produced from renewable energy sources (waste) and complies with the requirements of Article 2(4) of the Law of the Republic of Lithuania on Renewable Energy (No. XI</w:t>
      </w:r>
      <w:r w:rsidRPr="008F68EC">
        <w:rPr>
          <w:rFonts w:ascii="Cambria Math" w:hAnsi="Cambria Math" w:cs="Cambria Math"/>
        </w:rPr>
        <w:t>‑</w:t>
      </w:r>
      <w:r w:rsidRPr="008F68EC">
        <w:rPr>
          <w:rFonts w:asciiTheme="majorHAnsi" w:hAnsiTheme="majorHAnsi" w:cstheme="majorHAnsi"/>
        </w:rPr>
        <w:t xml:space="preserve">1375) of 12 May 2011 (hereinafter </w:t>
      </w:r>
      <w:r w:rsidRPr="008F68EC">
        <w:rPr>
          <w:rFonts w:ascii="Aptos Display" w:hAnsi="Aptos Display" w:cs="Aptos Display"/>
        </w:rPr>
        <w:t>–</w:t>
      </w:r>
      <w:r w:rsidRPr="008F68EC">
        <w:rPr>
          <w:rFonts w:asciiTheme="majorHAnsi" w:hAnsiTheme="majorHAnsi" w:cstheme="majorHAnsi"/>
        </w:rPr>
        <w:t xml:space="preserve"> </w:t>
      </w:r>
      <w:r w:rsidRPr="008F68EC">
        <w:rPr>
          <w:rFonts w:asciiTheme="majorHAnsi" w:hAnsiTheme="majorHAnsi" w:cstheme="majorHAnsi"/>
          <w:b/>
          <w:bCs/>
        </w:rPr>
        <w:t>the Services</w:t>
      </w:r>
      <w:r w:rsidRPr="008F68EC">
        <w:rPr>
          <w:rFonts w:asciiTheme="majorHAnsi" w:hAnsiTheme="majorHAnsi" w:cstheme="majorHAnsi"/>
        </w:rPr>
        <w:t>).</w:t>
      </w:r>
    </w:p>
    <w:p w14:paraId="798DB2D6" w14:textId="297B15A5" w:rsidR="004A2DD4" w:rsidRPr="008F68EC" w:rsidRDefault="004A2DD4" w:rsidP="004A2DD4">
      <w:pPr>
        <w:pStyle w:val="ListParagraph"/>
        <w:spacing w:after="0" w:line="360" w:lineRule="auto"/>
        <w:ind w:left="0"/>
        <w:jc w:val="both"/>
        <w:rPr>
          <w:rFonts w:asciiTheme="majorHAnsi" w:hAnsiTheme="majorHAnsi" w:cstheme="majorHAnsi"/>
        </w:rPr>
      </w:pPr>
      <w:r w:rsidRPr="008F68EC">
        <w:rPr>
          <w:rFonts w:asciiTheme="majorHAnsi" w:hAnsiTheme="majorHAnsi" w:cstheme="majorHAnsi"/>
        </w:rPr>
        <w:lastRenderedPageBreak/>
        <w:t>2.3.</w:t>
      </w:r>
      <w:r w:rsidRPr="008F68EC">
        <w:rPr>
          <w:rFonts w:asciiTheme="majorHAnsi" w:hAnsiTheme="majorHAnsi" w:cstheme="majorHAnsi"/>
          <w:b/>
          <w:bCs/>
        </w:rPr>
        <w:t xml:space="preserve"> </w:t>
      </w:r>
      <w:r w:rsidRPr="008F68EC">
        <w:rPr>
          <w:rFonts w:asciiTheme="majorHAnsi" w:hAnsiTheme="majorHAnsi" w:cstheme="majorHAnsi"/>
        </w:rPr>
        <w:t>The procurement object is not divided into lots. The Service Provider submitting a proposal must offer the full quantity/scope of the Procurement Object.</w:t>
      </w:r>
    </w:p>
    <w:p w14:paraId="4C12BCC5" w14:textId="3A2C6C04" w:rsidR="004A2DD4" w:rsidRPr="008F68EC" w:rsidRDefault="004A2DD4" w:rsidP="004A2DD4">
      <w:pPr>
        <w:pStyle w:val="ListParagraph"/>
        <w:spacing w:after="0" w:line="360" w:lineRule="auto"/>
        <w:ind w:left="0"/>
        <w:jc w:val="both"/>
        <w:rPr>
          <w:rFonts w:asciiTheme="majorHAnsi" w:hAnsiTheme="majorHAnsi" w:cstheme="majorHAnsi"/>
        </w:rPr>
      </w:pPr>
      <w:r w:rsidRPr="008F68EC">
        <w:rPr>
          <w:rFonts w:asciiTheme="majorHAnsi" w:hAnsiTheme="majorHAnsi" w:cstheme="majorHAnsi"/>
        </w:rPr>
        <w:t xml:space="preserve">2.4. </w:t>
      </w:r>
      <w:r w:rsidR="003A67AD" w:rsidRPr="008F68EC">
        <w:rPr>
          <w:rFonts w:asciiTheme="majorHAnsi" w:hAnsiTheme="majorHAnsi" w:cstheme="majorHAnsi"/>
        </w:rPr>
        <w:t>The Client acquires the Services in accordance with the technical requirements, conditions, and parameters set out in this Technical Specification, the Contract, and other procurement documents.</w:t>
      </w:r>
    </w:p>
    <w:p w14:paraId="05E0A351" w14:textId="139FB8B7" w:rsidR="004A2DD4" w:rsidRPr="008F68EC" w:rsidRDefault="003A67AD" w:rsidP="004A2DD4">
      <w:pPr>
        <w:pBdr>
          <w:top w:val="single" w:sz="8" w:space="1" w:color="auto"/>
          <w:bottom w:val="single" w:sz="8" w:space="1" w:color="auto"/>
        </w:pBdr>
        <w:spacing w:before="60" w:after="60" w:line="240" w:lineRule="auto"/>
        <w:rPr>
          <w:rFonts w:asciiTheme="majorHAnsi" w:eastAsia="Calibri" w:hAnsiTheme="majorHAnsi" w:cstheme="majorHAnsi"/>
          <w:b/>
        </w:rPr>
      </w:pPr>
      <w:r w:rsidRPr="008F68EC">
        <w:rPr>
          <w:rFonts w:asciiTheme="majorHAnsi" w:eastAsia="Calibri" w:hAnsiTheme="majorHAnsi" w:cstheme="majorHAnsi"/>
          <w:b/>
        </w:rPr>
        <w:t>3. REQUIREMENTS FOR THE PROCUREMENT OBJECT</w:t>
      </w:r>
    </w:p>
    <w:p w14:paraId="15E6146C" w14:textId="77777777" w:rsidR="004A2DD4" w:rsidRPr="008F68EC" w:rsidRDefault="004A2DD4" w:rsidP="004A2DD4">
      <w:pPr>
        <w:pStyle w:val="ListParagraph"/>
        <w:spacing w:after="0" w:line="360" w:lineRule="auto"/>
        <w:ind w:left="408"/>
        <w:jc w:val="both"/>
        <w:rPr>
          <w:rFonts w:asciiTheme="majorHAnsi" w:hAnsiTheme="majorHAnsi" w:cstheme="majorHAnsi"/>
        </w:rPr>
      </w:pPr>
    </w:p>
    <w:p w14:paraId="36AA3D57" w14:textId="00BBC7A8" w:rsidR="004A2DD4" w:rsidRPr="008F68EC" w:rsidRDefault="003A67AD" w:rsidP="004A2DD4">
      <w:pPr>
        <w:pStyle w:val="ListParagraph"/>
        <w:numPr>
          <w:ilvl w:val="1"/>
          <w:numId w:val="3"/>
        </w:numPr>
        <w:spacing w:after="0" w:line="360" w:lineRule="auto"/>
        <w:ind w:left="384"/>
        <w:jc w:val="both"/>
        <w:rPr>
          <w:rFonts w:asciiTheme="majorHAnsi" w:hAnsiTheme="majorHAnsi" w:cstheme="majorHAnsi"/>
        </w:rPr>
      </w:pPr>
      <w:r w:rsidRPr="008F68EC">
        <w:rPr>
          <w:rFonts w:asciiTheme="majorHAnsi" w:hAnsiTheme="majorHAnsi" w:cstheme="majorHAnsi"/>
        </w:rPr>
        <w:t>The Guarantees of Origin must meet the following requirements:</w:t>
      </w:r>
    </w:p>
    <w:p w14:paraId="3BFFFEBC" w14:textId="77777777" w:rsidR="004A2DD4" w:rsidRPr="008F68EC" w:rsidRDefault="004A2DD4" w:rsidP="004A2DD4">
      <w:pPr>
        <w:spacing w:after="0" w:line="36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1036"/>
        <w:gridCol w:w="4496"/>
        <w:gridCol w:w="1834"/>
        <w:gridCol w:w="1264"/>
      </w:tblGrid>
      <w:tr w:rsidR="004A2DD4" w:rsidRPr="008F68EC" w14:paraId="5BA6613E" w14:textId="77777777">
        <w:tc>
          <w:tcPr>
            <w:tcW w:w="1036" w:type="dxa"/>
          </w:tcPr>
          <w:p w14:paraId="66DC3AC0"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3.1.1.</w:t>
            </w:r>
          </w:p>
        </w:tc>
        <w:tc>
          <w:tcPr>
            <w:tcW w:w="4496" w:type="dxa"/>
          </w:tcPr>
          <w:p w14:paraId="29C6CA64" w14:textId="6E86B704"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RES gas for which Guarantees of Origin for green gas have been issued</w:t>
            </w:r>
          </w:p>
        </w:tc>
        <w:tc>
          <w:tcPr>
            <w:tcW w:w="3098" w:type="dxa"/>
            <w:gridSpan w:val="2"/>
          </w:tcPr>
          <w:p w14:paraId="4A4F34B8" w14:textId="0478DE0D"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Biomethane</w:t>
            </w:r>
          </w:p>
        </w:tc>
      </w:tr>
      <w:tr w:rsidR="004A2DD4" w:rsidRPr="008F68EC" w14:paraId="6BCC831D" w14:textId="77777777">
        <w:tc>
          <w:tcPr>
            <w:tcW w:w="1036" w:type="dxa"/>
          </w:tcPr>
          <w:p w14:paraId="18ED5EAB"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3.1.2.</w:t>
            </w:r>
          </w:p>
        </w:tc>
        <w:tc>
          <w:tcPr>
            <w:tcW w:w="4496" w:type="dxa"/>
          </w:tcPr>
          <w:p w14:paraId="6555831C" w14:textId="36910C94"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Production facility of the RES gas for which the Guarantees of Origin for green gas have been issued</w:t>
            </w:r>
          </w:p>
        </w:tc>
        <w:tc>
          <w:tcPr>
            <w:tcW w:w="3098" w:type="dxa"/>
            <w:gridSpan w:val="2"/>
          </w:tcPr>
          <w:p w14:paraId="1C93C3D5" w14:textId="2E685F78" w:rsidR="004A2DD4" w:rsidRPr="008F68EC" w:rsidRDefault="003A67AD">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Biomethane Facility</w:t>
            </w:r>
          </w:p>
        </w:tc>
      </w:tr>
      <w:tr w:rsidR="004A2DD4" w:rsidRPr="008F68EC" w14:paraId="1A06F5B2" w14:textId="77777777">
        <w:tc>
          <w:tcPr>
            <w:tcW w:w="1036" w:type="dxa"/>
          </w:tcPr>
          <w:p w14:paraId="1FCEED58"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3.1.3.</w:t>
            </w:r>
          </w:p>
        </w:tc>
        <w:tc>
          <w:tcPr>
            <w:tcW w:w="4496" w:type="dxa"/>
          </w:tcPr>
          <w:p w14:paraId="6073FB8B" w14:textId="0A2FBFC9"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Country of origin of the RES gas for which the Guarantees of Origin for green gas have been issued</w:t>
            </w:r>
          </w:p>
        </w:tc>
        <w:tc>
          <w:tcPr>
            <w:tcW w:w="3098" w:type="dxa"/>
            <w:gridSpan w:val="2"/>
          </w:tcPr>
          <w:p w14:paraId="5C85F4A3" w14:textId="27C5AA6A" w:rsidR="004A2DD4" w:rsidRPr="008F68EC" w:rsidRDefault="003A67AD">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RES gas produced in Lithuania or in other EU countries</w:t>
            </w:r>
          </w:p>
        </w:tc>
      </w:tr>
      <w:tr w:rsidR="004A2DD4" w:rsidRPr="008F68EC" w14:paraId="0E844D87" w14:textId="77777777">
        <w:tc>
          <w:tcPr>
            <w:tcW w:w="1036" w:type="dxa"/>
          </w:tcPr>
          <w:p w14:paraId="180C7765"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3.1.4.</w:t>
            </w:r>
          </w:p>
        </w:tc>
        <w:tc>
          <w:tcPr>
            <w:tcW w:w="4496" w:type="dxa"/>
          </w:tcPr>
          <w:p w14:paraId="314D2D57" w14:textId="25D747C6"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Feedstock of the RES gas for which the Guarantees of Origin for green gas have been issued</w:t>
            </w:r>
          </w:p>
        </w:tc>
        <w:tc>
          <w:tcPr>
            <w:tcW w:w="3098" w:type="dxa"/>
            <w:gridSpan w:val="2"/>
          </w:tcPr>
          <w:p w14:paraId="78D13FAA" w14:textId="705C90FD" w:rsidR="004A2DD4" w:rsidRPr="008F68EC" w:rsidRDefault="003A67AD">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Feedstock suitable for biomethane production</w:t>
            </w:r>
          </w:p>
        </w:tc>
      </w:tr>
      <w:tr w:rsidR="004A2DD4" w:rsidRPr="008F68EC" w14:paraId="136A2FBA" w14:textId="77777777">
        <w:tc>
          <w:tcPr>
            <w:tcW w:w="1036" w:type="dxa"/>
          </w:tcPr>
          <w:p w14:paraId="049EF5C2"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3.1.5.</w:t>
            </w:r>
          </w:p>
        </w:tc>
        <w:tc>
          <w:tcPr>
            <w:tcW w:w="4496" w:type="dxa"/>
          </w:tcPr>
          <w:p w14:paraId="6146D26A" w14:textId="6AB7BBA9"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Sustainability certificate</w:t>
            </w:r>
          </w:p>
        </w:tc>
        <w:tc>
          <w:tcPr>
            <w:tcW w:w="3098" w:type="dxa"/>
            <w:gridSpan w:val="2"/>
          </w:tcPr>
          <w:p w14:paraId="75031C86" w14:textId="16FF9C0D" w:rsidR="004A2DD4" w:rsidRPr="008F68EC" w:rsidRDefault="003A67AD">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Without a sustainability certificate</w:t>
            </w:r>
          </w:p>
        </w:tc>
      </w:tr>
      <w:tr w:rsidR="004A2DD4" w:rsidRPr="008F68EC" w14:paraId="102BEDDB" w14:textId="77777777">
        <w:tc>
          <w:tcPr>
            <w:tcW w:w="1036" w:type="dxa"/>
          </w:tcPr>
          <w:p w14:paraId="6BB5AD89"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3.1.6.</w:t>
            </w:r>
          </w:p>
        </w:tc>
        <w:tc>
          <w:tcPr>
            <w:tcW w:w="4496" w:type="dxa"/>
          </w:tcPr>
          <w:p w14:paraId="33CF5F1A" w14:textId="7C2B1CC7"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Subsidy</w:t>
            </w:r>
          </w:p>
        </w:tc>
        <w:tc>
          <w:tcPr>
            <w:tcW w:w="3098" w:type="dxa"/>
            <w:gridSpan w:val="2"/>
          </w:tcPr>
          <w:p w14:paraId="35802583" w14:textId="07B04EFC" w:rsidR="004A2DD4" w:rsidRPr="008F68EC" w:rsidRDefault="003A67AD">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All are acceptable</w:t>
            </w:r>
          </w:p>
        </w:tc>
      </w:tr>
      <w:tr w:rsidR="004A2DD4" w:rsidRPr="008F68EC" w14:paraId="1300A0E7" w14:textId="77777777">
        <w:tc>
          <w:tcPr>
            <w:tcW w:w="1036" w:type="dxa"/>
          </w:tcPr>
          <w:p w14:paraId="0050A72E"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3.1.7.</w:t>
            </w:r>
          </w:p>
        </w:tc>
        <w:tc>
          <w:tcPr>
            <w:tcW w:w="4496" w:type="dxa"/>
          </w:tcPr>
          <w:p w14:paraId="312A412A" w14:textId="2F5BA160" w:rsidR="004A2DD4" w:rsidRPr="008F68EC" w:rsidRDefault="003A67AD">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Validity of the Guarantees of Origin for green gas</w:t>
            </w:r>
          </w:p>
        </w:tc>
        <w:tc>
          <w:tcPr>
            <w:tcW w:w="3098" w:type="dxa"/>
            <w:gridSpan w:val="2"/>
          </w:tcPr>
          <w:p w14:paraId="3D12BD9A" w14:textId="080338E0" w:rsidR="004A2DD4" w:rsidRPr="008F68EC" w:rsidRDefault="003A67AD">
            <w:pPr>
              <w:pStyle w:val="IGN"/>
              <w:numPr>
                <w:ilvl w:val="0"/>
                <w:numId w:val="0"/>
              </w:numPr>
              <w:spacing w:before="0" w:after="0" w:line="276" w:lineRule="auto"/>
              <w:jc w:val="left"/>
              <w:rPr>
                <w:rFonts w:asciiTheme="majorHAnsi" w:hAnsiTheme="majorHAnsi" w:cstheme="majorHAnsi"/>
                <w:b w:val="0"/>
                <w:bCs w:val="0"/>
                <w:color w:val="000000" w:themeColor="text1"/>
                <w:highlight w:val="yellow"/>
              </w:rPr>
            </w:pPr>
            <w:r w:rsidRPr="008F68EC">
              <w:rPr>
                <w:rFonts w:asciiTheme="majorHAnsi" w:hAnsiTheme="majorHAnsi" w:cstheme="majorHAnsi"/>
                <w:b w:val="0"/>
                <w:bCs w:val="0"/>
                <w:color w:val="000000" w:themeColor="text1"/>
              </w:rPr>
              <w:t>The Guarantees of Origin for green gas must be valid at the time they are used on behalf of the Client.</w:t>
            </w:r>
          </w:p>
        </w:tc>
      </w:tr>
      <w:tr w:rsidR="004A2DD4" w:rsidRPr="008F68EC" w14:paraId="172E7176" w14:textId="77777777">
        <w:tc>
          <w:tcPr>
            <w:tcW w:w="1036" w:type="dxa"/>
          </w:tcPr>
          <w:p w14:paraId="1A297D3C"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3.1.8.</w:t>
            </w:r>
          </w:p>
        </w:tc>
        <w:tc>
          <w:tcPr>
            <w:tcW w:w="4496" w:type="dxa"/>
          </w:tcPr>
          <w:p w14:paraId="7ADC59F6" w14:textId="77777777" w:rsidR="003A67AD" w:rsidRPr="008F68EC" w:rsidRDefault="003A67AD" w:rsidP="003A67AD">
            <w:pPr>
              <w:pStyle w:val="IGN"/>
              <w:numPr>
                <w:ilvl w:val="0"/>
                <w:numId w:val="0"/>
              </w:numPr>
              <w:spacing w:after="0"/>
              <w:jc w:val="both"/>
              <w:rPr>
                <w:rFonts w:asciiTheme="majorHAnsi" w:hAnsiTheme="majorHAnsi" w:cstheme="majorHAnsi"/>
                <w:b w:val="0"/>
                <w:bCs w:val="0"/>
              </w:rPr>
            </w:pPr>
            <w:r w:rsidRPr="008F68EC">
              <w:rPr>
                <w:rFonts w:asciiTheme="majorHAnsi" w:hAnsiTheme="majorHAnsi" w:cstheme="majorHAnsi"/>
                <w:b w:val="0"/>
                <w:bCs w:val="0"/>
              </w:rPr>
              <w:t>Maximum quantity of Guarantees of Origin for green gas to be purchased under the Contract for a 12</w:t>
            </w:r>
            <w:r w:rsidRPr="008F68EC">
              <w:rPr>
                <w:rFonts w:ascii="Cambria Math" w:hAnsi="Cambria Math" w:cs="Cambria Math"/>
                <w:b w:val="0"/>
                <w:bCs w:val="0"/>
              </w:rPr>
              <w:t>‑</w:t>
            </w:r>
            <w:r w:rsidRPr="008F68EC">
              <w:rPr>
                <w:rFonts w:asciiTheme="majorHAnsi" w:hAnsiTheme="majorHAnsi" w:cstheme="majorHAnsi"/>
                <w:b w:val="0"/>
                <w:bCs w:val="0"/>
              </w:rPr>
              <w:t>month period</w:t>
            </w:r>
          </w:p>
          <w:p w14:paraId="1BE680E7" w14:textId="3FC98F98" w:rsidR="004A2DD4" w:rsidRPr="008F68EC" w:rsidRDefault="003A67AD" w:rsidP="003A67AD">
            <w:pPr>
              <w:pStyle w:val="IGN"/>
              <w:numPr>
                <w:ilvl w:val="0"/>
                <w:numId w:val="0"/>
              </w:numPr>
              <w:spacing w:before="0" w:after="0" w:line="276" w:lineRule="auto"/>
              <w:jc w:val="both"/>
              <w:rPr>
                <w:rFonts w:asciiTheme="majorHAnsi" w:hAnsiTheme="majorHAnsi" w:cstheme="majorHAnsi"/>
                <w:b w:val="0"/>
                <w:bCs w:val="0"/>
              </w:rPr>
            </w:pPr>
            <w:r w:rsidRPr="008F68EC">
              <w:rPr>
                <w:rFonts w:asciiTheme="majorHAnsi" w:hAnsiTheme="majorHAnsi" w:cstheme="majorHAnsi"/>
                <w:b w:val="0"/>
                <w:bCs w:val="0"/>
              </w:rPr>
              <w:t>(the exact quantity to be purchased will be specified at the time of the order).</w:t>
            </w:r>
          </w:p>
        </w:tc>
        <w:tc>
          <w:tcPr>
            <w:tcW w:w="3098" w:type="dxa"/>
            <w:gridSpan w:val="2"/>
          </w:tcPr>
          <w:p w14:paraId="74EBDA9B"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5753 MWh</w:t>
            </w:r>
          </w:p>
        </w:tc>
      </w:tr>
      <w:tr w:rsidR="004A2DD4" w:rsidRPr="008F68EC" w14:paraId="0D877135" w14:textId="77777777">
        <w:tc>
          <w:tcPr>
            <w:tcW w:w="1036" w:type="dxa"/>
          </w:tcPr>
          <w:p w14:paraId="6BC366CC"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lastRenderedPageBreak/>
              <w:t>3.1.9</w:t>
            </w:r>
          </w:p>
        </w:tc>
        <w:tc>
          <w:tcPr>
            <w:tcW w:w="4496" w:type="dxa"/>
          </w:tcPr>
          <w:p w14:paraId="424BA362" w14:textId="1A93037B" w:rsidR="004A2DD4" w:rsidRPr="008F68EC" w:rsidRDefault="0047433E">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Price of Guarantees of Origin for green gas</w:t>
            </w:r>
          </w:p>
        </w:tc>
        <w:tc>
          <w:tcPr>
            <w:tcW w:w="3098" w:type="dxa"/>
            <w:gridSpan w:val="2"/>
          </w:tcPr>
          <w:p w14:paraId="6AC7C96E" w14:textId="13E1AF98" w:rsidR="004A2DD4" w:rsidRPr="008F68EC" w:rsidRDefault="0047433E">
            <w:pPr>
              <w:pStyle w:val="IGN"/>
              <w:numPr>
                <w:ilvl w:val="0"/>
                <w:numId w:val="0"/>
              </w:numPr>
              <w:spacing w:before="0" w:after="0" w:line="360" w:lineRule="auto"/>
              <w:jc w:val="both"/>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The price offered by the Supplier is expressed in EUR/MWh</w:t>
            </w:r>
          </w:p>
        </w:tc>
      </w:tr>
      <w:tr w:rsidR="004A2DD4" w:rsidRPr="008F68EC" w14:paraId="2B64446E" w14:textId="77777777">
        <w:trPr>
          <w:trHeight w:val="56"/>
        </w:trPr>
        <w:tc>
          <w:tcPr>
            <w:tcW w:w="1036" w:type="dxa"/>
            <w:vMerge w:val="restart"/>
          </w:tcPr>
          <w:p w14:paraId="200EB5A1" w14:textId="77777777" w:rsidR="004A2DD4" w:rsidRPr="008F68EC" w:rsidRDefault="004A2DD4">
            <w:pPr>
              <w:pStyle w:val="IGN"/>
              <w:numPr>
                <w:ilvl w:val="0"/>
                <w:numId w:val="0"/>
              </w:numPr>
              <w:spacing w:before="0" w:after="0" w:line="360" w:lineRule="auto"/>
              <w:jc w:val="both"/>
              <w:rPr>
                <w:rFonts w:asciiTheme="majorHAnsi" w:hAnsiTheme="majorHAnsi" w:cstheme="majorHAnsi"/>
                <w:b w:val="0"/>
                <w:bCs w:val="0"/>
              </w:rPr>
            </w:pPr>
            <w:r w:rsidRPr="008F68EC">
              <w:rPr>
                <w:rFonts w:asciiTheme="majorHAnsi" w:hAnsiTheme="majorHAnsi" w:cstheme="majorHAnsi"/>
                <w:b w:val="0"/>
                <w:bCs w:val="0"/>
              </w:rPr>
              <w:t>3.1.10</w:t>
            </w:r>
          </w:p>
        </w:tc>
        <w:tc>
          <w:tcPr>
            <w:tcW w:w="4496" w:type="dxa"/>
            <w:vMerge w:val="restart"/>
          </w:tcPr>
          <w:p w14:paraId="6F5A9DE1" w14:textId="5CEA6D72" w:rsidR="004A2DD4" w:rsidRPr="008F68EC" w:rsidRDefault="00DC3AC3">
            <w:pPr>
              <w:pStyle w:val="IGN"/>
              <w:numPr>
                <w:ilvl w:val="0"/>
                <w:numId w:val="0"/>
              </w:numPr>
              <w:spacing w:before="0" w:after="0" w:line="276" w:lineRule="auto"/>
              <w:jc w:val="both"/>
              <w:rPr>
                <w:rFonts w:asciiTheme="majorHAnsi" w:hAnsiTheme="majorHAnsi" w:cstheme="majorHAnsi"/>
                <w:b w:val="0"/>
                <w:bCs w:val="0"/>
              </w:rPr>
            </w:pPr>
            <w:r w:rsidRPr="00DC3AC3">
              <w:rPr>
                <w:rFonts w:asciiTheme="majorHAnsi" w:hAnsiTheme="majorHAnsi" w:cstheme="majorHAnsi"/>
                <w:b w:val="0"/>
                <w:bCs w:val="0"/>
              </w:rPr>
              <w:t>Purchase and sale periods of Green Gas Guarantees of Origin and preliminary monthly quantities</w:t>
            </w:r>
            <w:r>
              <w:rPr>
                <w:rFonts w:asciiTheme="majorHAnsi" w:hAnsiTheme="majorHAnsi" w:cstheme="majorHAnsi"/>
                <w:b w:val="0"/>
                <w:bCs w:val="0"/>
              </w:rPr>
              <w:t>.</w:t>
            </w:r>
          </w:p>
        </w:tc>
        <w:tc>
          <w:tcPr>
            <w:tcW w:w="1834" w:type="dxa"/>
          </w:tcPr>
          <w:p w14:paraId="0267AA04" w14:textId="5313106C" w:rsidR="004A2DD4" w:rsidRPr="008F68EC" w:rsidRDefault="0047433E">
            <w:pPr>
              <w:pStyle w:val="IGN"/>
              <w:numPr>
                <w:ilvl w:val="0"/>
                <w:numId w:val="0"/>
              </w:numPr>
              <w:spacing w:before="0" w:after="0" w:line="276" w:lineRule="auto"/>
              <w:rPr>
                <w:rFonts w:asciiTheme="majorHAnsi" w:hAnsiTheme="majorHAnsi" w:cstheme="majorHAnsi"/>
                <w:b w:val="0"/>
                <w:bCs w:val="0"/>
              </w:rPr>
            </w:pPr>
            <w:r w:rsidRPr="008F68EC">
              <w:rPr>
                <w:rFonts w:asciiTheme="majorHAnsi" w:hAnsiTheme="majorHAnsi" w:cstheme="majorHAnsi"/>
                <w:b w:val="0"/>
                <w:bCs w:val="0"/>
              </w:rPr>
              <w:t>Month</w:t>
            </w:r>
          </w:p>
        </w:tc>
        <w:tc>
          <w:tcPr>
            <w:tcW w:w="1264" w:type="dxa"/>
          </w:tcPr>
          <w:p w14:paraId="5DF216DF" w14:textId="3FCE95DB" w:rsidR="004A2DD4" w:rsidRPr="008F68EC" w:rsidRDefault="0047433E">
            <w:pPr>
              <w:pStyle w:val="IGN"/>
              <w:numPr>
                <w:ilvl w:val="0"/>
                <w:numId w:val="0"/>
              </w:numPr>
              <w:spacing w:before="0" w:after="0" w:line="276"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1</w:t>
            </w:r>
            <w:r w:rsidRPr="008F68EC">
              <w:rPr>
                <w:rFonts w:ascii="Cambria Math" w:hAnsi="Cambria Math" w:cs="Cambria Math"/>
                <w:b w:val="0"/>
                <w:bCs w:val="0"/>
                <w:color w:val="000000" w:themeColor="text1"/>
              </w:rPr>
              <w:t>‑</w:t>
            </w:r>
            <w:r w:rsidRPr="008F68EC">
              <w:rPr>
                <w:rFonts w:asciiTheme="majorHAnsi" w:hAnsiTheme="majorHAnsi" w:cstheme="majorHAnsi"/>
                <w:b w:val="0"/>
                <w:bCs w:val="0"/>
                <w:color w:val="000000" w:themeColor="text1"/>
              </w:rPr>
              <w:t xml:space="preserve">month volumes (MWh) </w:t>
            </w:r>
          </w:p>
        </w:tc>
      </w:tr>
      <w:tr w:rsidR="0047433E" w:rsidRPr="008F68EC" w14:paraId="57B7B424" w14:textId="77777777">
        <w:trPr>
          <w:trHeight w:val="53"/>
        </w:trPr>
        <w:tc>
          <w:tcPr>
            <w:tcW w:w="1036" w:type="dxa"/>
            <w:vMerge/>
          </w:tcPr>
          <w:p w14:paraId="40A1EB28"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1EC7240B"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58BE6A8C" w14:textId="433C7B0A"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January 2026</w:t>
            </w:r>
            <w:r w:rsidR="001661C8">
              <w:rPr>
                <w:rFonts w:asciiTheme="majorHAnsi" w:hAnsiTheme="majorHAnsi" w:cstheme="majorHAnsi"/>
                <w:b w:val="0"/>
                <w:bCs w:val="0"/>
              </w:rPr>
              <w:t>*</w:t>
            </w:r>
          </w:p>
        </w:tc>
        <w:tc>
          <w:tcPr>
            <w:tcW w:w="1264" w:type="dxa"/>
          </w:tcPr>
          <w:p w14:paraId="1C0A71AD"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13770747" w14:textId="77777777">
        <w:trPr>
          <w:trHeight w:val="53"/>
        </w:trPr>
        <w:tc>
          <w:tcPr>
            <w:tcW w:w="1036" w:type="dxa"/>
            <w:vMerge/>
          </w:tcPr>
          <w:p w14:paraId="3D86AF0E"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72F68E17"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77B5F8AB" w14:textId="774785D3"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February 2026</w:t>
            </w:r>
          </w:p>
        </w:tc>
        <w:tc>
          <w:tcPr>
            <w:tcW w:w="1264" w:type="dxa"/>
          </w:tcPr>
          <w:p w14:paraId="1B11C31E"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2182D180" w14:textId="77777777">
        <w:trPr>
          <w:trHeight w:val="53"/>
        </w:trPr>
        <w:tc>
          <w:tcPr>
            <w:tcW w:w="1036" w:type="dxa"/>
            <w:vMerge/>
          </w:tcPr>
          <w:p w14:paraId="585EFD2B"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4F23344F"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149AA4CD" w14:textId="4957C2E1"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March 2026</w:t>
            </w:r>
          </w:p>
        </w:tc>
        <w:tc>
          <w:tcPr>
            <w:tcW w:w="1264" w:type="dxa"/>
          </w:tcPr>
          <w:p w14:paraId="0BB107BF"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3DBE870A" w14:textId="77777777">
        <w:trPr>
          <w:trHeight w:val="53"/>
        </w:trPr>
        <w:tc>
          <w:tcPr>
            <w:tcW w:w="1036" w:type="dxa"/>
            <w:vMerge/>
          </w:tcPr>
          <w:p w14:paraId="32ABEE4C"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08E1A870"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54078776" w14:textId="0023C4F4"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April 2026</w:t>
            </w:r>
          </w:p>
        </w:tc>
        <w:tc>
          <w:tcPr>
            <w:tcW w:w="1264" w:type="dxa"/>
          </w:tcPr>
          <w:p w14:paraId="3FE48B3D"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460E7336" w14:textId="77777777">
        <w:trPr>
          <w:trHeight w:val="53"/>
        </w:trPr>
        <w:tc>
          <w:tcPr>
            <w:tcW w:w="1036" w:type="dxa"/>
            <w:vMerge/>
          </w:tcPr>
          <w:p w14:paraId="514F6957"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6E891F38"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1D7FA7C6" w14:textId="756D861B"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 xml:space="preserve"> May 2026</w:t>
            </w:r>
          </w:p>
        </w:tc>
        <w:tc>
          <w:tcPr>
            <w:tcW w:w="1264" w:type="dxa"/>
          </w:tcPr>
          <w:p w14:paraId="4554174B"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3375A6F8" w14:textId="77777777">
        <w:trPr>
          <w:trHeight w:val="53"/>
        </w:trPr>
        <w:tc>
          <w:tcPr>
            <w:tcW w:w="1036" w:type="dxa"/>
            <w:vMerge/>
          </w:tcPr>
          <w:p w14:paraId="3366A5BA"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03F09283"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3F315912" w14:textId="5B58FE61"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June 2026</w:t>
            </w:r>
          </w:p>
        </w:tc>
        <w:tc>
          <w:tcPr>
            <w:tcW w:w="1264" w:type="dxa"/>
          </w:tcPr>
          <w:p w14:paraId="6332EB31"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11ED2F08" w14:textId="77777777">
        <w:trPr>
          <w:trHeight w:val="53"/>
        </w:trPr>
        <w:tc>
          <w:tcPr>
            <w:tcW w:w="1036" w:type="dxa"/>
            <w:vMerge/>
          </w:tcPr>
          <w:p w14:paraId="43934EB6"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053F7510"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6E7A8B3A" w14:textId="6B2DE938"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July 2026</w:t>
            </w:r>
          </w:p>
        </w:tc>
        <w:tc>
          <w:tcPr>
            <w:tcW w:w="1264" w:type="dxa"/>
          </w:tcPr>
          <w:p w14:paraId="6E3C148C"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1E54005C" w14:textId="77777777">
        <w:trPr>
          <w:trHeight w:val="53"/>
        </w:trPr>
        <w:tc>
          <w:tcPr>
            <w:tcW w:w="1036" w:type="dxa"/>
            <w:vMerge/>
          </w:tcPr>
          <w:p w14:paraId="5331F63C"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3EC03BB5"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6FBF5569" w14:textId="067FAD74"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August 2026</w:t>
            </w:r>
          </w:p>
        </w:tc>
        <w:tc>
          <w:tcPr>
            <w:tcW w:w="1264" w:type="dxa"/>
          </w:tcPr>
          <w:p w14:paraId="1A3C8200"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3B0A4360" w14:textId="77777777">
        <w:trPr>
          <w:trHeight w:val="53"/>
        </w:trPr>
        <w:tc>
          <w:tcPr>
            <w:tcW w:w="1036" w:type="dxa"/>
            <w:vMerge/>
          </w:tcPr>
          <w:p w14:paraId="179E9268"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3963501C"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32052215" w14:textId="1ABE02D7"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September 2026</w:t>
            </w:r>
          </w:p>
        </w:tc>
        <w:tc>
          <w:tcPr>
            <w:tcW w:w="1264" w:type="dxa"/>
          </w:tcPr>
          <w:p w14:paraId="09F9464A"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44761D6C" w14:textId="77777777">
        <w:trPr>
          <w:trHeight w:val="53"/>
        </w:trPr>
        <w:tc>
          <w:tcPr>
            <w:tcW w:w="1036" w:type="dxa"/>
            <w:vMerge/>
          </w:tcPr>
          <w:p w14:paraId="13C78016"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67898709"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220E4335" w14:textId="16D85816"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October 2026</w:t>
            </w:r>
          </w:p>
        </w:tc>
        <w:tc>
          <w:tcPr>
            <w:tcW w:w="1264" w:type="dxa"/>
          </w:tcPr>
          <w:p w14:paraId="1835010D"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07E250C6" w14:textId="77777777">
        <w:trPr>
          <w:trHeight w:val="53"/>
        </w:trPr>
        <w:tc>
          <w:tcPr>
            <w:tcW w:w="1036" w:type="dxa"/>
            <w:vMerge/>
          </w:tcPr>
          <w:p w14:paraId="02539FF0"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5D2B7CA6"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6859CA91" w14:textId="2152A01F"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 xml:space="preserve"> November 2026</w:t>
            </w:r>
          </w:p>
        </w:tc>
        <w:tc>
          <w:tcPr>
            <w:tcW w:w="1264" w:type="dxa"/>
          </w:tcPr>
          <w:p w14:paraId="57BCFA7C"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479</w:t>
            </w:r>
          </w:p>
        </w:tc>
      </w:tr>
      <w:tr w:rsidR="0047433E" w:rsidRPr="008F68EC" w14:paraId="03722354" w14:textId="77777777">
        <w:trPr>
          <w:trHeight w:val="53"/>
        </w:trPr>
        <w:tc>
          <w:tcPr>
            <w:tcW w:w="1036" w:type="dxa"/>
            <w:vMerge/>
          </w:tcPr>
          <w:p w14:paraId="10417AB9"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4496" w:type="dxa"/>
            <w:vMerge/>
          </w:tcPr>
          <w:p w14:paraId="3B0DC6ED" w14:textId="77777777" w:rsidR="0047433E" w:rsidRPr="008F68EC" w:rsidRDefault="0047433E" w:rsidP="0047433E">
            <w:pPr>
              <w:pStyle w:val="IGN"/>
              <w:numPr>
                <w:ilvl w:val="0"/>
                <w:numId w:val="0"/>
              </w:numPr>
              <w:spacing w:before="0" w:after="0" w:line="360" w:lineRule="auto"/>
              <w:jc w:val="both"/>
              <w:rPr>
                <w:rFonts w:asciiTheme="majorHAnsi" w:hAnsiTheme="majorHAnsi" w:cstheme="majorHAnsi"/>
                <w:b w:val="0"/>
                <w:bCs w:val="0"/>
              </w:rPr>
            </w:pPr>
          </w:p>
        </w:tc>
        <w:tc>
          <w:tcPr>
            <w:tcW w:w="1834" w:type="dxa"/>
          </w:tcPr>
          <w:p w14:paraId="1A954306" w14:textId="0ECA8DB9" w:rsidR="0047433E" w:rsidRPr="008F68EC" w:rsidRDefault="0047433E" w:rsidP="0047433E">
            <w:pPr>
              <w:pStyle w:val="IGN"/>
              <w:numPr>
                <w:ilvl w:val="0"/>
                <w:numId w:val="0"/>
              </w:numPr>
              <w:spacing w:before="0" w:after="0" w:line="360" w:lineRule="auto"/>
              <w:jc w:val="left"/>
              <w:rPr>
                <w:rFonts w:asciiTheme="majorHAnsi" w:hAnsiTheme="majorHAnsi" w:cstheme="majorHAnsi"/>
                <w:b w:val="0"/>
                <w:bCs w:val="0"/>
              </w:rPr>
            </w:pPr>
            <w:r w:rsidRPr="008F68EC">
              <w:rPr>
                <w:rFonts w:asciiTheme="majorHAnsi" w:hAnsiTheme="majorHAnsi" w:cstheme="majorHAnsi"/>
                <w:b w:val="0"/>
                <w:bCs w:val="0"/>
              </w:rPr>
              <w:t xml:space="preserve"> December 2026</w:t>
            </w:r>
          </w:p>
        </w:tc>
        <w:tc>
          <w:tcPr>
            <w:tcW w:w="1264" w:type="dxa"/>
          </w:tcPr>
          <w:p w14:paraId="6B38F73F" w14:textId="77777777" w:rsidR="0047433E" w:rsidRPr="008F68EC" w:rsidRDefault="0047433E" w:rsidP="0047433E">
            <w:pPr>
              <w:pStyle w:val="IGN"/>
              <w:numPr>
                <w:ilvl w:val="0"/>
                <w:numId w:val="0"/>
              </w:numPr>
              <w:spacing w:before="0" w:after="0" w:line="360" w:lineRule="auto"/>
              <w:rPr>
                <w:rFonts w:asciiTheme="majorHAnsi" w:hAnsiTheme="majorHAnsi" w:cstheme="majorHAnsi"/>
                <w:b w:val="0"/>
                <w:bCs w:val="0"/>
                <w:color w:val="000000" w:themeColor="text1"/>
              </w:rPr>
            </w:pPr>
            <w:r w:rsidRPr="008F68EC">
              <w:rPr>
                <w:rFonts w:asciiTheme="majorHAnsi" w:hAnsiTheme="majorHAnsi" w:cstheme="majorHAnsi"/>
                <w:b w:val="0"/>
                <w:bCs w:val="0"/>
                <w:color w:val="000000" w:themeColor="text1"/>
              </w:rPr>
              <w:t>484</w:t>
            </w:r>
          </w:p>
        </w:tc>
      </w:tr>
    </w:tbl>
    <w:p w14:paraId="5EF0C278" w14:textId="77777777" w:rsidR="00BA4E26" w:rsidRDefault="001661C8" w:rsidP="004A2DD4">
      <w:pPr>
        <w:spacing w:after="0" w:line="360" w:lineRule="auto"/>
        <w:jc w:val="both"/>
        <w:rPr>
          <w:rFonts w:asciiTheme="majorHAnsi" w:hAnsiTheme="majorHAnsi" w:cstheme="majorHAnsi"/>
        </w:rPr>
      </w:pPr>
      <w:r>
        <w:rPr>
          <w:rFonts w:asciiTheme="majorHAnsi" w:hAnsiTheme="majorHAnsi" w:cstheme="majorHAnsi"/>
        </w:rPr>
        <w:t>*</w:t>
      </w:r>
      <w:r w:rsidRPr="001661C8">
        <w:t xml:space="preserve"> </w:t>
      </w:r>
      <w:r w:rsidR="00BA4E26" w:rsidRPr="00BA4E26">
        <w:rPr>
          <w:rFonts w:asciiTheme="majorHAnsi" w:hAnsiTheme="majorHAnsi" w:cstheme="majorHAnsi"/>
        </w:rPr>
        <w:t>If the contract is not concluded in time, the quantity of guarantees of origin planned for January 2026 will be purchased in the following months by submitting the corresponding order.</w:t>
      </w:r>
    </w:p>
    <w:p w14:paraId="47068077" w14:textId="6F16F638"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rPr>
        <w:t xml:space="preserve">3.2. </w:t>
      </w:r>
      <w:r w:rsidR="0047433E" w:rsidRPr="008F68EC">
        <w:rPr>
          <w:rFonts w:asciiTheme="majorHAnsi" w:hAnsiTheme="majorHAnsi" w:cstheme="majorHAnsi"/>
        </w:rPr>
        <w:t>The Guarantees of Origin for green gas are purchased without sustainability certificates and without physical gas supply. They are not eligible for issuing RES accounting units under the sustainability criteria set out in Article 38 of the Lithuanian Republic Law on Renewable Energy of 12 May 2011 (No. XI</w:t>
      </w:r>
      <w:r w:rsidR="0047433E" w:rsidRPr="008F68EC">
        <w:rPr>
          <w:rFonts w:ascii="Cambria Math" w:hAnsi="Cambria Math" w:cs="Cambria Math"/>
        </w:rPr>
        <w:t>‑</w:t>
      </w:r>
      <w:r w:rsidR="0047433E" w:rsidRPr="008F68EC">
        <w:rPr>
          <w:rFonts w:asciiTheme="majorHAnsi" w:hAnsiTheme="majorHAnsi" w:cstheme="majorHAnsi"/>
        </w:rPr>
        <w:t>1375).</w:t>
      </w:r>
    </w:p>
    <w:p w14:paraId="5F7B3C1B" w14:textId="34A2D954"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rPr>
        <w:t xml:space="preserve">3.3. </w:t>
      </w:r>
      <w:r w:rsidR="0047433E" w:rsidRPr="008F68EC">
        <w:rPr>
          <w:rFonts w:asciiTheme="majorHAnsi" w:hAnsiTheme="majorHAnsi" w:cstheme="majorHAnsi"/>
        </w:rPr>
        <w:t>The Guarantees of Origin for green gas must be issued by a competent authority, as specified in Article 19 “Guarantees of origin of energy from renewable sources” of Directive (EU) 2018/2001 of the European Parliament and of the Council on the promotion of the use of energy from renewable sources (link here</w:t>
      </w:r>
      <w:r w:rsidRPr="008F68EC">
        <w:rPr>
          <w:rFonts w:asciiTheme="majorHAnsi" w:hAnsiTheme="majorHAnsi" w:cstheme="majorHAnsi"/>
          <w:b/>
        </w:rPr>
        <w:t xml:space="preserve">: </w:t>
      </w:r>
      <w:r w:rsidRPr="008F68EC">
        <w:rPr>
          <w:rFonts w:asciiTheme="majorHAnsi" w:hAnsiTheme="majorHAnsi" w:cstheme="majorHAnsi"/>
        </w:rPr>
        <w:t xml:space="preserve"> </w:t>
      </w:r>
      <w:hyperlink r:id="rId8" w:history="1">
        <w:r w:rsidRPr="008F68EC">
          <w:rPr>
            <w:rStyle w:val="Hyperlink"/>
            <w:rFonts w:asciiTheme="majorHAnsi" w:hAnsiTheme="majorHAnsi" w:cstheme="majorHAnsi"/>
          </w:rPr>
          <w:t>CL2018L2001LT0040010.0001.3bi_cp 1..1</w:t>
        </w:r>
      </w:hyperlink>
      <w:r w:rsidRPr="008F68EC">
        <w:rPr>
          <w:rFonts w:asciiTheme="majorHAnsi" w:hAnsiTheme="majorHAnsi" w:cstheme="majorHAnsi"/>
        </w:rPr>
        <w:t>)</w:t>
      </w:r>
    </w:p>
    <w:p w14:paraId="15BDC0B6" w14:textId="657CFC3D" w:rsidR="004A2DD4" w:rsidRPr="008F68EC" w:rsidRDefault="004A2DD4" w:rsidP="004A2DD4">
      <w:pPr>
        <w:spacing w:after="0" w:line="360" w:lineRule="auto"/>
        <w:jc w:val="both"/>
        <w:rPr>
          <w:rFonts w:asciiTheme="majorHAnsi" w:hAnsiTheme="majorHAnsi" w:cstheme="majorBidi"/>
        </w:rPr>
      </w:pPr>
      <w:r w:rsidRPr="008F68EC">
        <w:rPr>
          <w:rFonts w:asciiTheme="majorHAnsi" w:hAnsiTheme="majorHAnsi" w:cstheme="majorBidi"/>
        </w:rPr>
        <w:t xml:space="preserve">3.4. </w:t>
      </w:r>
      <w:r w:rsidR="0047433E" w:rsidRPr="008F68EC">
        <w:rPr>
          <w:rFonts w:asciiTheme="majorHAnsi" w:hAnsiTheme="majorHAnsi" w:cstheme="majorBidi"/>
        </w:rPr>
        <w:t>The Guarantees of Origin for green gas must be transferred to the Service Provider that holds an account in the register of Guarantees of Origin for gas produced from renewable energy sources, administered by the Designated Entity – AB “Amber Grid”.</w:t>
      </w:r>
    </w:p>
    <w:p w14:paraId="2B96C4FC" w14:textId="2EB1FA00" w:rsidR="004A2DD4" w:rsidRPr="008F68EC" w:rsidRDefault="004A2DD4" w:rsidP="004A2DD4">
      <w:pPr>
        <w:spacing w:after="0" w:line="360" w:lineRule="auto"/>
        <w:jc w:val="both"/>
        <w:rPr>
          <w:rFonts w:asciiTheme="majorHAnsi" w:hAnsiTheme="majorHAnsi" w:cstheme="majorBidi"/>
        </w:rPr>
      </w:pPr>
      <w:r w:rsidRPr="008F68EC">
        <w:rPr>
          <w:rFonts w:asciiTheme="majorHAnsi" w:hAnsiTheme="majorHAnsi" w:cstheme="majorBidi"/>
        </w:rPr>
        <w:lastRenderedPageBreak/>
        <w:t xml:space="preserve">3.5. </w:t>
      </w:r>
      <w:r w:rsidR="0047433E" w:rsidRPr="008F68EC">
        <w:rPr>
          <w:rFonts w:asciiTheme="majorHAnsi" w:hAnsiTheme="majorHAnsi" w:cstheme="majorBidi"/>
        </w:rPr>
        <w:t>The Supplier shall, on a monthly basis, carry out the use of the Guarantees of Origin for green gas on behalf of the Client and provide the Client with the corresponding Guarantees of Origin usage certificates by email.</w:t>
      </w:r>
    </w:p>
    <w:p w14:paraId="520FBA3B" w14:textId="66773B03" w:rsidR="004A2DD4" w:rsidRPr="008F68EC" w:rsidRDefault="004A2DD4" w:rsidP="004A2DD4">
      <w:pPr>
        <w:spacing w:after="0" w:line="360" w:lineRule="auto"/>
        <w:jc w:val="both"/>
        <w:rPr>
          <w:rFonts w:asciiTheme="majorHAnsi" w:hAnsiTheme="majorHAnsi" w:cstheme="majorHAnsi"/>
        </w:rPr>
      </w:pPr>
      <w:r w:rsidRPr="008F68EC">
        <w:rPr>
          <w:rFonts w:asciiTheme="majorHAnsi" w:hAnsiTheme="majorHAnsi" w:cstheme="majorHAnsi"/>
        </w:rPr>
        <w:t xml:space="preserve">3.6. </w:t>
      </w:r>
      <w:r w:rsidR="0047433E" w:rsidRPr="008F68EC">
        <w:rPr>
          <w:rFonts w:asciiTheme="majorHAnsi" w:hAnsiTheme="majorHAnsi" w:cstheme="majorHAnsi"/>
        </w:rPr>
        <w:t>A sale of Guarantees of Origin for green gas shall be deemed valid when a certificate, issued in the form prescribed by the applicable legislation, confirms that the Guarantees of Origin issued for gas produced from renewable energy sources have been used on behalf of the Client in accordance with the procedure established by the entity administering the Guarantees of Origin, and when the certificate of use of the Guarantees of Origin has been provided to the Client by email.</w:t>
      </w:r>
    </w:p>
    <w:p w14:paraId="40685C99" w14:textId="0519D8C6" w:rsidR="004A2DD4" w:rsidRPr="008F68EC" w:rsidRDefault="004A2DD4" w:rsidP="004A2DD4">
      <w:pPr>
        <w:spacing w:line="360" w:lineRule="auto"/>
        <w:jc w:val="both"/>
        <w:rPr>
          <w:color w:val="000000" w:themeColor="text1"/>
        </w:rPr>
      </w:pPr>
      <w:r w:rsidRPr="008F68EC">
        <w:rPr>
          <w:rFonts w:ascii="Calibri" w:hAnsi="Calibri" w:cs="Calibri"/>
          <w:color w:val="000000" w:themeColor="text1"/>
        </w:rPr>
        <w:t xml:space="preserve">3.7. </w:t>
      </w:r>
      <w:r w:rsidR="0047433E" w:rsidRPr="008F68EC">
        <w:rPr>
          <w:rFonts w:ascii="Calibri" w:hAnsi="Calibri" w:cs="Calibri"/>
          <w:color w:val="000000" w:themeColor="text1"/>
        </w:rPr>
        <w:t>The quantity of Guarantees of Origin for green gas indicated in Clause 3.1.10 for each month is preliminary and may be adjusted throughout the entire term of the Contract; however, the total amount of Orders during the performance of the Contract may not exceed or be lower than the annual quantity specified in Clause 3.1.8. Each current month, the Client must provide the Supplier with the desired quantity of Guarantees of Origin to be used for the previous month.</w:t>
      </w:r>
    </w:p>
    <w:p w14:paraId="7EB53A63" w14:textId="4267D4F9" w:rsidR="004A2DD4" w:rsidRPr="008F68EC" w:rsidRDefault="004A2DD4" w:rsidP="004A2DD4">
      <w:pPr>
        <w:spacing w:line="360" w:lineRule="auto"/>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3.8. </w:t>
      </w:r>
      <w:r w:rsidR="0047433E" w:rsidRPr="008F68EC">
        <w:rPr>
          <w:rFonts w:asciiTheme="majorHAnsi" w:hAnsiTheme="majorHAnsi" w:cstheme="majorHAnsi"/>
          <w:color w:val="000000" w:themeColor="text1"/>
        </w:rPr>
        <w:t xml:space="preserve">The Client shall submit the order for the quantity of Guarantees of Origin for green gas to the Supplier by the 10th day of the month following the reporting month. The Supplier shall provide the Client with the certificates of use of the Guarantees of Origin, confirming the use of the Guarantees of Origin for gas produced from renewable energy sources on behalf of the Client. The certificates of use of the Guarantees of Origin for </w:t>
      </w:r>
      <w:r w:rsidR="003B413A" w:rsidRPr="008F68EC">
        <w:rPr>
          <w:rFonts w:asciiTheme="majorHAnsi" w:hAnsiTheme="majorHAnsi" w:cstheme="majorHAnsi"/>
          <w:color w:val="000000" w:themeColor="text1"/>
        </w:rPr>
        <w:t>Green Gas</w:t>
      </w:r>
      <w:r w:rsidR="0047433E" w:rsidRPr="008F68EC">
        <w:rPr>
          <w:rFonts w:asciiTheme="majorHAnsi" w:hAnsiTheme="majorHAnsi" w:cstheme="majorHAnsi"/>
          <w:color w:val="000000" w:themeColor="text1"/>
        </w:rPr>
        <w:t xml:space="preserve"> shall be delivered monthly, no later than the last day of the month following the reporting period.</w:t>
      </w:r>
    </w:p>
    <w:p w14:paraId="098DDBE2" w14:textId="1B83CD5B" w:rsidR="004A2DD4" w:rsidRPr="008F68EC" w:rsidRDefault="004A2DD4" w:rsidP="004A2DD4">
      <w:pPr>
        <w:spacing w:after="0" w:line="360" w:lineRule="auto"/>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3.9. </w:t>
      </w:r>
      <w:r w:rsidR="0047433E" w:rsidRPr="008F68EC">
        <w:rPr>
          <w:rFonts w:asciiTheme="majorHAnsi" w:hAnsiTheme="majorHAnsi" w:cstheme="majorHAnsi"/>
          <w:color w:val="000000" w:themeColor="text1"/>
        </w:rPr>
        <w:t>The Supplier undertakes to ensure, throughout the entire term of the Contract:</w:t>
      </w:r>
    </w:p>
    <w:p w14:paraId="22392094" w14:textId="65F9E05E" w:rsidR="004A2DD4" w:rsidRPr="008F68EC" w:rsidRDefault="004A2DD4" w:rsidP="004A2DD4">
      <w:pPr>
        <w:spacing w:after="0" w:line="360" w:lineRule="auto"/>
        <w:ind w:left="720"/>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3.9.1. </w:t>
      </w:r>
      <w:r w:rsidR="009B345A" w:rsidRPr="009B345A">
        <w:rPr>
          <w:rFonts w:asciiTheme="majorHAnsi" w:hAnsiTheme="majorHAnsi" w:cstheme="majorHAnsi"/>
          <w:color w:val="000000" w:themeColor="text1"/>
        </w:rPr>
        <w:t>compliance with the requirements set out in this Technical Specification</w:t>
      </w:r>
      <w:r w:rsidR="0047433E" w:rsidRPr="008F68EC">
        <w:rPr>
          <w:rFonts w:asciiTheme="majorHAnsi" w:hAnsiTheme="majorHAnsi" w:cstheme="majorHAnsi"/>
          <w:color w:val="000000" w:themeColor="text1"/>
        </w:rPr>
        <w:t>;</w:t>
      </w:r>
    </w:p>
    <w:p w14:paraId="14286514" w14:textId="47010186" w:rsidR="004A2DD4" w:rsidRDefault="004A2DD4" w:rsidP="00643F9D">
      <w:pPr>
        <w:spacing w:after="0" w:line="360" w:lineRule="auto"/>
        <w:ind w:left="720"/>
        <w:jc w:val="both"/>
        <w:rPr>
          <w:rFonts w:asciiTheme="majorHAnsi" w:hAnsiTheme="majorHAnsi" w:cstheme="majorHAnsi"/>
          <w:color w:val="000000" w:themeColor="text1"/>
        </w:rPr>
      </w:pPr>
      <w:r w:rsidRPr="008F68EC">
        <w:rPr>
          <w:rFonts w:asciiTheme="majorHAnsi" w:hAnsiTheme="majorHAnsi" w:cstheme="majorHAnsi"/>
          <w:color w:val="000000" w:themeColor="text1"/>
        </w:rPr>
        <w:t>3.9.</w:t>
      </w:r>
      <w:r w:rsidR="00DA16B8">
        <w:rPr>
          <w:rFonts w:asciiTheme="majorHAnsi" w:hAnsiTheme="majorHAnsi" w:cstheme="majorHAnsi"/>
          <w:color w:val="000000" w:themeColor="text1"/>
        </w:rPr>
        <w:t>2</w:t>
      </w:r>
      <w:r w:rsidRPr="008F68EC">
        <w:rPr>
          <w:rFonts w:asciiTheme="majorHAnsi" w:hAnsiTheme="majorHAnsi" w:cstheme="majorHAnsi"/>
          <w:color w:val="000000" w:themeColor="text1"/>
        </w:rPr>
        <w:t>.</w:t>
      </w:r>
      <w:r w:rsidRPr="008F68EC">
        <w:t xml:space="preserve"> </w:t>
      </w:r>
      <w:r w:rsidR="0047433E" w:rsidRPr="008F68EC">
        <w:rPr>
          <w:rFonts w:asciiTheme="majorHAnsi" w:hAnsiTheme="majorHAnsi" w:cstheme="majorHAnsi"/>
          <w:color w:val="000000" w:themeColor="text1"/>
        </w:rPr>
        <w:t>to provide the Client, each month and upon receipt of the Client’s order, with the certificates of use of the Guarantees of Origin for green gas by electronic means;</w:t>
      </w:r>
    </w:p>
    <w:p w14:paraId="72528CAC" w14:textId="5920E218" w:rsidR="0052070B" w:rsidRPr="008F68EC" w:rsidRDefault="0052070B" w:rsidP="00643F9D">
      <w:pPr>
        <w:spacing w:after="0" w:line="360" w:lineRule="auto"/>
        <w:ind w:left="720"/>
        <w:jc w:val="both"/>
        <w:rPr>
          <w:rFonts w:asciiTheme="majorHAnsi" w:hAnsiTheme="majorHAnsi" w:cstheme="majorHAnsi"/>
          <w:color w:val="000000" w:themeColor="text1"/>
        </w:rPr>
      </w:pPr>
      <w:r>
        <w:rPr>
          <w:rFonts w:asciiTheme="majorHAnsi" w:hAnsiTheme="majorHAnsi" w:cstheme="majorHAnsi"/>
          <w:color w:val="000000" w:themeColor="text1"/>
        </w:rPr>
        <w:t>3.9.3.</w:t>
      </w:r>
      <w:r w:rsidR="009E0FFC" w:rsidRPr="009E0FFC">
        <w:t xml:space="preserve"> </w:t>
      </w:r>
      <w:r w:rsidR="009E0FFC" w:rsidRPr="009E0FFC">
        <w:rPr>
          <w:rFonts w:asciiTheme="majorHAnsi" w:hAnsiTheme="majorHAnsi" w:cstheme="majorHAnsi"/>
          <w:color w:val="000000" w:themeColor="text1"/>
        </w:rPr>
        <w:t>to comply with the confidentiality and settlement terms set out in the Contract and its annexes</w:t>
      </w:r>
      <w:r w:rsidR="009E0FFC">
        <w:rPr>
          <w:rFonts w:asciiTheme="majorHAnsi" w:hAnsiTheme="majorHAnsi" w:cstheme="majorHAnsi"/>
          <w:color w:val="000000" w:themeColor="text1"/>
        </w:rPr>
        <w:t>;</w:t>
      </w:r>
    </w:p>
    <w:p w14:paraId="6CBA7E7D" w14:textId="3D06B6B0" w:rsidR="004A2DD4" w:rsidRPr="008F68EC" w:rsidRDefault="004A2DD4" w:rsidP="004A2DD4">
      <w:pPr>
        <w:spacing w:after="0" w:line="360" w:lineRule="auto"/>
        <w:ind w:left="720"/>
        <w:jc w:val="both"/>
        <w:rPr>
          <w:rFonts w:asciiTheme="majorHAnsi" w:hAnsiTheme="majorHAnsi" w:cstheme="majorHAnsi"/>
          <w:color w:val="000000" w:themeColor="text1"/>
        </w:rPr>
      </w:pPr>
      <w:r w:rsidRPr="008F68EC">
        <w:rPr>
          <w:rFonts w:asciiTheme="majorHAnsi" w:hAnsiTheme="majorHAnsi" w:cstheme="majorHAnsi"/>
          <w:color w:val="000000" w:themeColor="text1"/>
        </w:rPr>
        <w:t>3.9.</w:t>
      </w:r>
      <w:r w:rsidR="0052070B">
        <w:rPr>
          <w:rFonts w:asciiTheme="majorHAnsi" w:hAnsiTheme="majorHAnsi" w:cstheme="majorHAnsi"/>
          <w:color w:val="000000" w:themeColor="text1"/>
        </w:rPr>
        <w:t>4</w:t>
      </w:r>
      <w:r w:rsidRPr="008F68EC">
        <w:rPr>
          <w:rFonts w:asciiTheme="majorHAnsi" w:hAnsiTheme="majorHAnsi" w:cstheme="majorHAnsi"/>
          <w:color w:val="000000" w:themeColor="text1"/>
        </w:rPr>
        <w:t>.</w:t>
      </w:r>
      <w:r w:rsidRPr="008F68EC">
        <w:t xml:space="preserve"> </w:t>
      </w:r>
      <w:r w:rsidR="00E51894" w:rsidRPr="008F68EC">
        <w:rPr>
          <w:rFonts w:asciiTheme="majorHAnsi" w:hAnsiTheme="majorHAnsi" w:cstheme="majorHAnsi"/>
          <w:color w:val="000000" w:themeColor="text1"/>
        </w:rPr>
        <w:t>to ensure that the Guarantees of Origin are not reused or transferred to third parties;</w:t>
      </w:r>
    </w:p>
    <w:p w14:paraId="49937387" w14:textId="4ED8E40D" w:rsidR="004A2DD4" w:rsidRPr="008F68EC" w:rsidRDefault="004A2DD4" w:rsidP="004A2DD4">
      <w:pPr>
        <w:spacing w:after="0" w:line="360" w:lineRule="auto"/>
        <w:ind w:left="720"/>
        <w:jc w:val="both"/>
        <w:rPr>
          <w:rFonts w:asciiTheme="majorHAnsi" w:hAnsiTheme="majorHAnsi" w:cstheme="majorHAnsi"/>
          <w:color w:val="000000" w:themeColor="text1"/>
        </w:rPr>
      </w:pPr>
      <w:r w:rsidRPr="008F68EC">
        <w:rPr>
          <w:rFonts w:asciiTheme="majorHAnsi" w:hAnsiTheme="majorHAnsi" w:cstheme="majorHAnsi"/>
          <w:color w:val="000000" w:themeColor="text1"/>
        </w:rPr>
        <w:t>3.9.</w:t>
      </w:r>
      <w:r w:rsidR="00EC1D61">
        <w:rPr>
          <w:rFonts w:asciiTheme="majorHAnsi" w:hAnsiTheme="majorHAnsi" w:cstheme="majorHAnsi"/>
          <w:color w:val="000000" w:themeColor="text1"/>
        </w:rPr>
        <w:t>5</w:t>
      </w:r>
      <w:r w:rsidRPr="008F68EC">
        <w:rPr>
          <w:rFonts w:asciiTheme="majorHAnsi" w:hAnsiTheme="majorHAnsi" w:cstheme="majorHAnsi"/>
          <w:color w:val="000000" w:themeColor="text1"/>
        </w:rPr>
        <w:t>.</w:t>
      </w:r>
      <w:r w:rsidR="00E51894" w:rsidRPr="008F68EC">
        <w:rPr>
          <w:rFonts w:asciiTheme="majorHAnsi" w:hAnsiTheme="majorHAnsi" w:cstheme="majorHAnsi"/>
          <w:color w:val="000000" w:themeColor="text1"/>
        </w:rPr>
        <w:t>in the event that the Client loses the electronic form of the Guarantees of Origin and/or the Certificate confirming the origin of gas from renewable energy sources, to resend to the Client, by email and within 5 (five) working days from the date of receipt of the request, the electronic versions of the specified documents (in PDF format).</w:t>
      </w:r>
    </w:p>
    <w:p w14:paraId="38C3CE19" w14:textId="053DA484" w:rsidR="004A2DD4" w:rsidRPr="008F68EC" w:rsidRDefault="004A2DD4" w:rsidP="004A2DD4">
      <w:pPr>
        <w:spacing w:after="0" w:line="360" w:lineRule="auto"/>
        <w:jc w:val="both"/>
        <w:rPr>
          <w:rFonts w:asciiTheme="majorHAnsi" w:hAnsiTheme="majorHAnsi" w:cstheme="majorHAnsi"/>
          <w:b/>
          <w:bCs/>
          <w:strike/>
          <w:color w:val="000000" w:themeColor="text1"/>
        </w:rPr>
      </w:pPr>
      <w:r w:rsidRPr="008F68EC">
        <w:rPr>
          <w:rFonts w:asciiTheme="majorHAnsi" w:hAnsiTheme="majorHAnsi" w:cstheme="majorHAnsi"/>
          <w:color w:val="000000" w:themeColor="text1"/>
        </w:rPr>
        <w:lastRenderedPageBreak/>
        <w:t>3.10.</w:t>
      </w:r>
      <w:r w:rsidR="00E51894" w:rsidRPr="008F68EC">
        <w:t xml:space="preserve"> </w:t>
      </w:r>
      <w:r w:rsidR="00E51894" w:rsidRPr="008F68EC">
        <w:rPr>
          <w:rFonts w:asciiTheme="majorHAnsi" w:hAnsiTheme="majorHAnsi" w:cstheme="majorHAnsi"/>
          <w:color w:val="000000" w:themeColor="text1"/>
        </w:rPr>
        <w:t xml:space="preserve">The Supplier is a participant in the renewable energy gas market and is registered in the Guarantees of Origin database of the entity designated under the legislation of the Republic of Lithuania (link here: </w:t>
      </w:r>
      <w:hyperlink r:id="rId9" w:history="1">
        <w:r w:rsidR="00E51894" w:rsidRPr="008F68EC">
          <w:rPr>
            <w:rStyle w:val="Hyperlink"/>
            <w:rFonts w:asciiTheme="majorHAnsi" w:hAnsiTheme="majorHAnsi" w:cstheme="majorHAnsi"/>
          </w:rPr>
          <w:t>https://grex.grexel.com/en/public/home</w:t>
        </w:r>
      </w:hyperlink>
      <w:r w:rsidR="00E51894" w:rsidRPr="008F68EC">
        <w:rPr>
          <w:rFonts w:asciiTheme="majorHAnsi" w:hAnsiTheme="majorHAnsi" w:cstheme="majorHAnsi"/>
          <w:color w:val="000000" w:themeColor="text1"/>
        </w:rPr>
        <w:t>). As proof, the Supplier, when submitting its Proposal, must provide a document issued by AB “Amber Grid” — a confirmation letter attesting to the Supplier’s registration in the Register of Guarantees of Origin for Green Gas.</w:t>
      </w:r>
    </w:p>
    <w:p w14:paraId="4AC65692" w14:textId="5833B960" w:rsidR="004A2DD4" w:rsidRPr="008F68EC" w:rsidRDefault="00E51894" w:rsidP="00E51894">
      <w:pPr>
        <w:pBdr>
          <w:top w:val="single" w:sz="8" w:space="1" w:color="auto"/>
          <w:bottom w:val="single" w:sz="8" w:space="1" w:color="auto"/>
        </w:pBdr>
        <w:spacing w:before="60" w:after="60" w:line="240" w:lineRule="auto"/>
        <w:rPr>
          <w:rFonts w:asciiTheme="majorHAnsi" w:eastAsia="Calibri" w:hAnsiTheme="majorHAnsi" w:cstheme="majorHAnsi"/>
          <w:b/>
        </w:rPr>
      </w:pPr>
      <w:r w:rsidRPr="008F68EC">
        <w:rPr>
          <w:rFonts w:asciiTheme="majorHAnsi" w:eastAsia="Calibri" w:hAnsiTheme="majorHAnsi" w:cstheme="majorHAnsi"/>
          <w:b/>
        </w:rPr>
        <w:t>4.</w:t>
      </w:r>
      <w:r w:rsidRPr="008F68EC">
        <w:rPr>
          <w:rFonts w:ascii="Arial" w:eastAsia="Calibri" w:hAnsi="Arial" w:cs="Arial"/>
          <w:b/>
        </w:rPr>
        <w:t> </w:t>
      </w:r>
      <w:r w:rsidRPr="008F68EC">
        <w:rPr>
          <w:rFonts w:asciiTheme="majorHAnsi" w:eastAsia="Calibri" w:hAnsiTheme="majorHAnsi" w:cstheme="majorHAnsi"/>
          <w:b/>
        </w:rPr>
        <w:t>SERVICE PROVISION TERMS:</w:t>
      </w:r>
    </w:p>
    <w:p w14:paraId="35F3EF70" w14:textId="354C6023" w:rsidR="004A2DD4" w:rsidRPr="008F68EC" w:rsidRDefault="004A2DD4" w:rsidP="004A2DD4">
      <w:pPr>
        <w:spacing w:after="0" w:line="360" w:lineRule="auto"/>
        <w:jc w:val="both"/>
        <w:rPr>
          <w:rFonts w:asciiTheme="majorHAnsi" w:hAnsiTheme="majorHAnsi" w:cstheme="majorBidi"/>
          <w:color w:val="000000" w:themeColor="text1"/>
        </w:rPr>
      </w:pPr>
      <w:r w:rsidRPr="008F68EC">
        <w:rPr>
          <w:rFonts w:asciiTheme="majorHAnsi" w:hAnsiTheme="majorHAnsi" w:cstheme="majorBidi"/>
          <w:color w:val="000000" w:themeColor="text1"/>
        </w:rPr>
        <w:t xml:space="preserve">4.1. </w:t>
      </w:r>
      <w:r w:rsidR="00E51894" w:rsidRPr="008F68EC">
        <w:rPr>
          <w:rFonts w:asciiTheme="majorHAnsi" w:hAnsiTheme="majorHAnsi" w:cstheme="majorBidi"/>
          <w:color w:val="000000" w:themeColor="text1"/>
        </w:rPr>
        <w:t>The Services shall be provided from the moment of signing the Contract until 31 December 2026 inclusive. The validity period of the issued Guarantees of Origin must cover the period from 1 January 2026 to 31 December 2026 inclusive.</w:t>
      </w:r>
    </w:p>
    <w:p w14:paraId="6A3571B4" w14:textId="35370F97" w:rsidR="004A2DD4" w:rsidRPr="008F68EC" w:rsidRDefault="00E51894" w:rsidP="00E51894">
      <w:pPr>
        <w:pBdr>
          <w:top w:val="single" w:sz="8" w:space="1" w:color="auto"/>
          <w:bottom w:val="single" w:sz="8" w:space="1" w:color="auto"/>
        </w:pBdr>
        <w:spacing w:before="60" w:after="60" w:line="240" w:lineRule="auto"/>
        <w:rPr>
          <w:rFonts w:asciiTheme="majorHAnsi" w:eastAsia="Calibri" w:hAnsiTheme="majorHAnsi" w:cstheme="majorHAnsi"/>
          <w:b/>
        </w:rPr>
      </w:pPr>
      <w:r w:rsidRPr="008F68EC">
        <w:rPr>
          <w:rFonts w:asciiTheme="majorHAnsi" w:eastAsia="Calibri" w:hAnsiTheme="majorHAnsi" w:cstheme="majorHAnsi"/>
          <w:b/>
        </w:rPr>
        <w:t>5.</w:t>
      </w:r>
      <w:r w:rsidRPr="008F68EC">
        <w:rPr>
          <w:rFonts w:ascii="Arial" w:eastAsia="Calibri" w:hAnsi="Arial" w:cs="Arial"/>
          <w:b/>
        </w:rPr>
        <w:t> </w:t>
      </w:r>
      <w:r w:rsidRPr="008F68EC">
        <w:rPr>
          <w:rFonts w:asciiTheme="majorHAnsi" w:eastAsia="Calibri" w:hAnsiTheme="majorHAnsi" w:cstheme="majorHAnsi"/>
          <w:b/>
        </w:rPr>
        <w:t>PLACE OF SERVICE PROVISION:</w:t>
      </w:r>
    </w:p>
    <w:p w14:paraId="1F57F450" w14:textId="482DC14C" w:rsidR="004A2DD4" w:rsidRPr="008F68EC" w:rsidRDefault="004A2DD4" w:rsidP="004A2DD4">
      <w:pPr>
        <w:spacing w:after="0" w:line="360" w:lineRule="auto"/>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5.1. </w:t>
      </w:r>
      <w:r w:rsidR="00E51894" w:rsidRPr="008F68EC">
        <w:rPr>
          <w:rFonts w:asciiTheme="majorHAnsi" w:hAnsiTheme="majorHAnsi" w:cstheme="majorHAnsi"/>
          <w:color w:val="000000" w:themeColor="text1"/>
        </w:rPr>
        <w:t>Laisvės Ave. 10, Vilnius and/or Remotely.</w:t>
      </w:r>
    </w:p>
    <w:p w14:paraId="0C446673" w14:textId="73308F63" w:rsidR="004A2DD4" w:rsidRPr="008F68EC" w:rsidRDefault="00E51894" w:rsidP="00E51894">
      <w:pPr>
        <w:pBdr>
          <w:top w:val="single" w:sz="8" w:space="1" w:color="auto"/>
          <w:bottom w:val="single" w:sz="8" w:space="1" w:color="auto"/>
        </w:pBdr>
        <w:spacing w:before="60" w:after="60" w:line="240" w:lineRule="auto"/>
        <w:rPr>
          <w:rFonts w:asciiTheme="majorHAnsi" w:eastAsia="Calibri" w:hAnsiTheme="majorHAnsi" w:cstheme="majorHAnsi"/>
          <w:b/>
        </w:rPr>
      </w:pPr>
      <w:r w:rsidRPr="008F68EC">
        <w:t xml:space="preserve"> </w:t>
      </w:r>
      <w:r w:rsidRPr="008F68EC">
        <w:rPr>
          <w:rFonts w:asciiTheme="majorHAnsi" w:eastAsia="Calibri" w:hAnsiTheme="majorHAnsi" w:cstheme="majorHAnsi"/>
          <w:b/>
        </w:rPr>
        <w:t>6.</w:t>
      </w:r>
      <w:r w:rsidRPr="008F68EC">
        <w:rPr>
          <w:rFonts w:ascii="Arial" w:eastAsia="Calibri" w:hAnsi="Arial" w:cs="Arial"/>
          <w:b/>
        </w:rPr>
        <w:t> </w:t>
      </w:r>
      <w:r w:rsidRPr="008F68EC">
        <w:rPr>
          <w:rFonts w:asciiTheme="majorHAnsi" w:eastAsia="Calibri" w:hAnsiTheme="majorHAnsi" w:cstheme="majorHAnsi"/>
          <w:b/>
        </w:rPr>
        <w:t>PROCEDURE AND DEADLINES FOR PERFORMANCE:</w:t>
      </w:r>
    </w:p>
    <w:p w14:paraId="371B04E6" w14:textId="54338C56" w:rsidR="004A2DD4" w:rsidRPr="008F68EC" w:rsidRDefault="004A2DD4" w:rsidP="004A2DD4">
      <w:pPr>
        <w:spacing w:after="0" w:line="360" w:lineRule="auto"/>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6.1. </w:t>
      </w:r>
      <w:r w:rsidR="00096B75" w:rsidRPr="00096B75">
        <w:rPr>
          <w:rFonts w:asciiTheme="majorHAnsi" w:hAnsiTheme="majorHAnsi" w:cstheme="majorHAnsi"/>
          <w:color w:val="000000" w:themeColor="text1"/>
        </w:rPr>
        <w:t>Order submission method: By email.</w:t>
      </w:r>
    </w:p>
    <w:p w14:paraId="2297AB19" w14:textId="00C7E012" w:rsidR="004A2DD4" w:rsidRPr="008F68EC" w:rsidRDefault="004A2DD4" w:rsidP="004A2DD4">
      <w:pPr>
        <w:spacing w:after="0" w:line="360" w:lineRule="auto"/>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6.2. </w:t>
      </w:r>
      <w:r w:rsidR="0038635E" w:rsidRPr="0038635E">
        <w:rPr>
          <w:rFonts w:asciiTheme="majorHAnsi" w:hAnsiTheme="majorHAnsi" w:cstheme="majorHAnsi"/>
          <w:color w:val="000000" w:themeColor="text1"/>
        </w:rPr>
        <w:t>The specific required amount of Guarantees of Origin will be indicated at the time of the order.</w:t>
      </w:r>
    </w:p>
    <w:p w14:paraId="2F8B92C2" w14:textId="3F7737F8" w:rsidR="004A2DD4" w:rsidRPr="008F68EC" w:rsidRDefault="004A2DD4" w:rsidP="004A2DD4">
      <w:pPr>
        <w:spacing w:after="0" w:line="360" w:lineRule="auto"/>
        <w:jc w:val="both"/>
        <w:rPr>
          <w:rFonts w:asciiTheme="majorHAnsi" w:hAnsiTheme="majorHAnsi" w:cstheme="majorHAnsi"/>
          <w:color w:val="000000" w:themeColor="text1"/>
        </w:rPr>
      </w:pPr>
      <w:r w:rsidRPr="008F68EC">
        <w:rPr>
          <w:rFonts w:asciiTheme="majorHAnsi" w:hAnsiTheme="majorHAnsi" w:cstheme="majorHAnsi"/>
          <w:color w:val="000000" w:themeColor="text1"/>
        </w:rPr>
        <w:t xml:space="preserve"> 6.3. </w:t>
      </w:r>
      <w:r w:rsidR="001423EB" w:rsidRPr="001423EB">
        <w:rPr>
          <w:rFonts w:asciiTheme="majorHAnsi" w:hAnsiTheme="majorHAnsi" w:cstheme="majorHAnsi"/>
          <w:color w:val="000000" w:themeColor="text1"/>
        </w:rPr>
        <w:t>The Guarantees of Origin must be transferred as specified in points 3.4 and 3.</w:t>
      </w:r>
      <w:r w:rsidR="00AC6620">
        <w:rPr>
          <w:rFonts w:asciiTheme="majorHAnsi" w:hAnsiTheme="majorHAnsi" w:cstheme="majorHAnsi"/>
          <w:color w:val="000000" w:themeColor="text1"/>
        </w:rPr>
        <w:t>8.</w:t>
      </w:r>
      <w:r w:rsidR="001423EB" w:rsidRPr="001423EB">
        <w:rPr>
          <w:rFonts w:asciiTheme="majorHAnsi" w:hAnsiTheme="majorHAnsi" w:cstheme="majorHAnsi"/>
          <w:color w:val="000000" w:themeColor="text1"/>
        </w:rPr>
        <w:t xml:space="preserve"> of the Technical Specification.</w:t>
      </w:r>
    </w:p>
    <w:p w14:paraId="1889EA8E" w14:textId="6939BD43" w:rsidR="004A2DD4" w:rsidRPr="008F68EC" w:rsidRDefault="00E51894" w:rsidP="00E51894">
      <w:pPr>
        <w:pBdr>
          <w:top w:val="single" w:sz="8" w:space="1" w:color="auto"/>
          <w:bottom w:val="single" w:sz="8" w:space="1" w:color="auto"/>
        </w:pBdr>
        <w:spacing w:before="60" w:after="60" w:line="240" w:lineRule="auto"/>
        <w:rPr>
          <w:rFonts w:asciiTheme="majorHAnsi" w:eastAsia="Calibri" w:hAnsiTheme="majorHAnsi" w:cstheme="majorHAnsi"/>
          <w:b/>
        </w:rPr>
      </w:pPr>
      <w:bookmarkStart w:id="0" w:name="_Hlk214537844"/>
      <w:r w:rsidRPr="008F68EC">
        <w:rPr>
          <w:b/>
          <w:bCs/>
        </w:rPr>
        <w:t>7.</w:t>
      </w:r>
      <w:r w:rsidRPr="008F68EC">
        <w:t xml:space="preserve"> </w:t>
      </w:r>
      <w:r w:rsidRPr="008F68EC">
        <w:rPr>
          <w:rFonts w:asciiTheme="majorHAnsi" w:eastAsia="Calibri" w:hAnsiTheme="majorHAnsi" w:cstheme="majorHAnsi"/>
          <w:b/>
        </w:rPr>
        <w:t>GREEN CRITERION APPLICABLE TO THE PROCUREMENT OBJECT:</w:t>
      </w:r>
    </w:p>
    <w:bookmarkEnd w:id="0"/>
    <w:p w14:paraId="7DF80766" w14:textId="3D0F6E15" w:rsidR="004A2DD4" w:rsidRPr="008F68EC" w:rsidRDefault="004A2DD4" w:rsidP="004A2DD4">
      <w:pPr>
        <w:pStyle w:val="ListParagraph"/>
        <w:spacing w:after="0" w:line="360" w:lineRule="auto"/>
        <w:ind w:left="0"/>
        <w:jc w:val="both"/>
        <w:rPr>
          <w:rFonts w:asciiTheme="majorHAnsi" w:hAnsiTheme="majorHAnsi" w:cstheme="majorBidi"/>
          <w:color w:val="000000" w:themeColor="text1"/>
        </w:rPr>
      </w:pPr>
      <w:r w:rsidRPr="008F68EC">
        <w:rPr>
          <w:rFonts w:asciiTheme="majorHAnsi" w:hAnsiTheme="majorHAnsi" w:cstheme="majorBidi"/>
          <w:color w:val="000000" w:themeColor="text1"/>
        </w:rPr>
        <w:t>7.1.</w:t>
      </w:r>
      <w:r w:rsidRPr="008F68EC">
        <w:t xml:space="preserve"> </w:t>
      </w:r>
      <w:r w:rsidR="00E51894" w:rsidRPr="008F68EC">
        <w:rPr>
          <w:rFonts w:asciiTheme="majorHAnsi" w:hAnsiTheme="majorHAnsi" w:cstheme="majorBidi"/>
          <w:color w:val="000000" w:themeColor="text1"/>
        </w:rPr>
        <w:t>The Service being procured is not included in the List of Products; the environmental requirements are established by Amber Grid in accordance with Clause 4.4.3 of the Description of the Procedure for the Application of Environmental Criteria to be applied by contracting authorities and contracting entities when purchasing goods, services or works, as approved by Order No. D1</w:t>
      </w:r>
      <w:r w:rsidR="00E51894" w:rsidRPr="008F68EC">
        <w:rPr>
          <w:rFonts w:ascii="Cambria Math" w:hAnsi="Cambria Math" w:cs="Cambria Math"/>
          <w:color w:val="000000" w:themeColor="text1"/>
        </w:rPr>
        <w:t>‑</w:t>
      </w:r>
      <w:r w:rsidR="00E51894" w:rsidRPr="008F68EC">
        <w:rPr>
          <w:rFonts w:asciiTheme="majorHAnsi" w:hAnsiTheme="majorHAnsi" w:cstheme="majorBidi"/>
          <w:color w:val="000000" w:themeColor="text1"/>
        </w:rPr>
        <w:t>508 of the Minister of Environment of the Republic of Lithuania of 28 June 2011 (as amended):</w:t>
      </w:r>
    </w:p>
    <w:p w14:paraId="2F40CEA4" w14:textId="29E65F1E" w:rsidR="004A2DD4" w:rsidRPr="008F68EC" w:rsidRDefault="00E51894" w:rsidP="004A2DD4">
      <w:pPr>
        <w:pStyle w:val="ListParagraph"/>
        <w:spacing w:after="0" w:line="360" w:lineRule="auto"/>
        <w:ind w:left="0"/>
        <w:jc w:val="both"/>
        <w:rPr>
          <w:rFonts w:asciiTheme="majorHAnsi" w:hAnsiTheme="majorHAnsi" w:cstheme="majorHAnsi"/>
          <w:color w:val="000000" w:themeColor="text1"/>
        </w:rPr>
      </w:pPr>
      <w:r w:rsidRPr="008F68EC">
        <w:rPr>
          <w:rFonts w:asciiTheme="majorHAnsi" w:eastAsia="Times New Roman" w:hAnsiTheme="majorHAnsi" w:cstheme="majorHAnsi"/>
          <w:color w:val="000000" w:themeColor="text1"/>
        </w:rPr>
        <w:t>“4.4.3. only an intangible (intellectual) or other type of service not related to the creation of a material object is procured, where no significant negative environmental impact is expected during the provision of the service, no source of pollution is created, and no waste is generated (e.g., services of performers, photographers, designers, sound engineers, video engineers, event hosts, interpreters, text editors; training services; social and scientific research, preparation of studies and concepts; marketing and publicity strategies, digital advertising, preparation of publications; software development and information system maintenance services; audit, insurance, legal and consultancy services, and other similar services), or a product is procured: software, software rental, licences, electronic publications or electronic books.”</w:t>
      </w:r>
    </w:p>
    <w:p w14:paraId="64442359" w14:textId="17836AD5" w:rsidR="004A2DD4" w:rsidRPr="008F68EC" w:rsidRDefault="00E51894" w:rsidP="00E51894">
      <w:pPr>
        <w:pBdr>
          <w:top w:val="single" w:sz="8" w:space="1" w:color="auto"/>
          <w:bottom w:val="single" w:sz="8" w:space="1" w:color="auto"/>
        </w:pBdr>
        <w:spacing w:before="60" w:after="60" w:line="240" w:lineRule="auto"/>
        <w:rPr>
          <w:rFonts w:asciiTheme="majorHAnsi" w:eastAsia="Calibri" w:hAnsiTheme="majorHAnsi" w:cstheme="majorHAnsi"/>
          <w:b/>
        </w:rPr>
      </w:pPr>
      <w:r w:rsidRPr="008F68EC">
        <w:rPr>
          <w:rFonts w:asciiTheme="majorHAnsi" w:eastAsia="Calibri" w:hAnsiTheme="majorHAnsi" w:cstheme="majorHAnsi"/>
          <w:b/>
        </w:rPr>
        <w:lastRenderedPageBreak/>
        <w:t>8.</w:t>
      </w:r>
      <w:r w:rsidRPr="008F68EC">
        <w:t xml:space="preserve"> </w:t>
      </w:r>
      <w:r w:rsidRPr="008F68EC">
        <w:rPr>
          <w:rFonts w:asciiTheme="majorHAnsi" w:eastAsia="Calibri" w:hAnsiTheme="majorHAnsi" w:cstheme="majorHAnsi"/>
          <w:b/>
        </w:rPr>
        <w:t>DOCUMENTS TO BE SUBMITTED TOGETHER WITH THE PROPOSAL:</w:t>
      </w:r>
    </w:p>
    <w:p w14:paraId="250CE8E5" w14:textId="2D513CED" w:rsidR="004A2DD4" w:rsidRPr="008F68EC" w:rsidRDefault="004A2DD4" w:rsidP="004A2DD4">
      <w:pPr>
        <w:pStyle w:val="ListParagraph"/>
        <w:spacing w:after="0" w:line="360" w:lineRule="auto"/>
        <w:ind w:left="0"/>
        <w:jc w:val="both"/>
        <w:rPr>
          <w:rFonts w:asciiTheme="majorHAnsi" w:hAnsiTheme="majorHAnsi" w:cstheme="majorHAnsi"/>
          <w:color w:val="000000" w:themeColor="text1"/>
        </w:rPr>
      </w:pPr>
      <w:r w:rsidRPr="008F68EC">
        <w:rPr>
          <w:rFonts w:asciiTheme="majorHAnsi" w:hAnsiTheme="majorHAnsi" w:cstheme="majorHAnsi"/>
          <w:color w:val="000000" w:themeColor="text1"/>
        </w:rPr>
        <w:t>8.1.</w:t>
      </w:r>
      <w:r w:rsidRPr="008F68EC">
        <w:t xml:space="preserve"> </w:t>
      </w:r>
      <w:r w:rsidR="00E51894" w:rsidRPr="008F68EC">
        <w:rPr>
          <w:rFonts w:asciiTheme="majorHAnsi" w:hAnsiTheme="majorHAnsi" w:cstheme="majorHAnsi"/>
          <w:color w:val="000000" w:themeColor="text1"/>
        </w:rPr>
        <w:t>When submitting its Proposal, the Supplier must provide a document issued by Amber Grid, AB — a confirmation letter attesting to the Supplier’s registration in the Register of Guarantees of Origin for Green Gas.</w:t>
      </w:r>
    </w:p>
    <w:p w14:paraId="7B4F71AE" w14:textId="77777777" w:rsidR="004A2DD4" w:rsidRPr="008F68EC" w:rsidRDefault="004A2DD4" w:rsidP="004A2DD4">
      <w:pPr>
        <w:spacing w:after="0" w:line="360" w:lineRule="auto"/>
        <w:jc w:val="both"/>
        <w:rPr>
          <w:rFonts w:asciiTheme="majorHAnsi" w:hAnsiTheme="majorHAnsi" w:cstheme="majorHAnsi"/>
        </w:rPr>
      </w:pPr>
    </w:p>
    <w:p w14:paraId="31C90DE8" w14:textId="77777777" w:rsidR="004A2DD4" w:rsidRPr="008F68EC" w:rsidRDefault="004A2DD4" w:rsidP="004A2DD4">
      <w:pPr>
        <w:spacing w:after="0" w:line="360" w:lineRule="auto"/>
        <w:jc w:val="both"/>
        <w:rPr>
          <w:rFonts w:asciiTheme="majorHAnsi" w:hAnsiTheme="majorHAnsi" w:cstheme="majorHAnsi"/>
        </w:rPr>
      </w:pPr>
    </w:p>
    <w:p w14:paraId="5C932761" w14:textId="77777777" w:rsidR="00222190" w:rsidRPr="00322447" w:rsidRDefault="00222190">
      <w:pPr>
        <w:rPr>
          <w:lang w:val="lt-LT"/>
        </w:rPr>
      </w:pPr>
    </w:p>
    <w:sectPr w:rsidR="00222190" w:rsidRPr="00322447" w:rsidSect="004A2DD4">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C5772" w14:textId="77777777" w:rsidR="000939F5" w:rsidRPr="008F68EC" w:rsidRDefault="000939F5">
      <w:pPr>
        <w:spacing w:after="0" w:line="240" w:lineRule="auto"/>
      </w:pPr>
      <w:r w:rsidRPr="008F68EC">
        <w:separator/>
      </w:r>
    </w:p>
  </w:endnote>
  <w:endnote w:type="continuationSeparator" w:id="0">
    <w:p w14:paraId="504F243D" w14:textId="77777777" w:rsidR="000939F5" w:rsidRPr="008F68EC" w:rsidRDefault="000939F5">
      <w:pPr>
        <w:spacing w:after="0" w:line="240" w:lineRule="auto"/>
      </w:pPr>
      <w:r w:rsidRPr="008F68E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0BF42" w14:textId="77777777" w:rsidR="000939F5" w:rsidRPr="008F68EC" w:rsidRDefault="000939F5">
      <w:pPr>
        <w:spacing w:after="0" w:line="240" w:lineRule="auto"/>
      </w:pPr>
      <w:r w:rsidRPr="008F68EC">
        <w:separator/>
      </w:r>
    </w:p>
  </w:footnote>
  <w:footnote w:type="continuationSeparator" w:id="0">
    <w:p w14:paraId="37FCB829" w14:textId="77777777" w:rsidR="000939F5" w:rsidRPr="008F68EC" w:rsidRDefault="000939F5">
      <w:pPr>
        <w:spacing w:after="0" w:line="240" w:lineRule="auto"/>
      </w:pPr>
      <w:r w:rsidRPr="008F68E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5420" w14:textId="77777777" w:rsidR="004A2DD4" w:rsidRPr="008F68EC" w:rsidRDefault="004A2DD4">
    <w:pPr>
      <w:pStyle w:val="Header"/>
      <w:jc w:val="center"/>
    </w:pPr>
    <w:r w:rsidRPr="008F68EC">
      <w:rPr>
        <w:noProof/>
      </w:rPr>
      <w:drawing>
        <wp:inline distT="0" distB="0" distL="0" distR="0" wp14:anchorId="712A4B96" wp14:editId="7EA29F17">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417A4"/>
    <w:multiLevelType w:val="multilevel"/>
    <w:tmpl w:val="397466A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EB1262"/>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525095"/>
    <w:multiLevelType w:val="multilevel"/>
    <w:tmpl w:val="813C5E86"/>
    <w:lvl w:ilvl="0">
      <w:start w:val="1"/>
      <w:numFmt w:val="decimal"/>
      <w:pStyle w:val="IGN"/>
      <w:lvlText w:val="%1."/>
      <w:lvlJc w:val="left"/>
      <w:pPr>
        <w:ind w:left="720" w:hanging="360"/>
      </w:pPr>
    </w:lvl>
    <w:lvl w:ilvl="1">
      <w:start w:val="1"/>
      <w:numFmt w:val="decimal"/>
      <w:lvlText w:val="%1.%2."/>
      <w:lvlJc w:val="left"/>
      <w:pPr>
        <w:ind w:left="1080" w:hanging="720"/>
      </w:pPr>
      <w:rPr>
        <w:b w:val="0"/>
        <w:bCs w:val="0"/>
        <w:color w:val="auto"/>
      </w:rPr>
    </w:lvl>
    <w:lvl w:ilvl="2">
      <w:start w:val="1"/>
      <w:numFmt w:val="decimal"/>
      <w:lvlText w:val="%1.%2.%3."/>
      <w:lvlJc w:val="left"/>
      <w:pPr>
        <w:ind w:left="1430" w:hanging="720"/>
      </w:pPr>
      <w:rPr>
        <w:color w:val="auto"/>
      </w:rPr>
    </w:lvl>
    <w:lvl w:ilvl="3">
      <w:start w:val="1"/>
      <w:numFmt w:val="decimal"/>
      <w:lvlText w:val="%1.%2.%3.%4."/>
      <w:lvlJc w:val="left"/>
      <w:pPr>
        <w:ind w:left="26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826504132">
    <w:abstractNumId w:val="2"/>
  </w:num>
  <w:num w:numId="2" w16cid:durableId="7391337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463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D4"/>
    <w:rsid w:val="000939F5"/>
    <w:rsid w:val="00096B75"/>
    <w:rsid w:val="000C04C7"/>
    <w:rsid w:val="001423EB"/>
    <w:rsid w:val="001661C8"/>
    <w:rsid w:val="00222190"/>
    <w:rsid w:val="002D41F1"/>
    <w:rsid w:val="00322447"/>
    <w:rsid w:val="00323ACB"/>
    <w:rsid w:val="0038635E"/>
    <w:rsid w:val="003A67AD"/>
    <w:rsid w:val="003B413A"/>
    <w:rsid w:val="003D7082"/>
    <w:rsid w:val="0047433E"/>
    <w:rsid w:val="004A2DD4"/>
    <w:rsid w:val="004C0D63"/>
    <w:rsid w:val="005155F8"/>
    <w:rsid w:val="0052070B"/>
    <w:rsid w:val="005551F0"/>
    <w:rsid w:val="005E1E2D"/>
    <w:rsid w:val="00643F9D"/>
    <w:rsid w:val="006F7C37"/>
    <w:rsid w:val="0084371F"/>
    <w:rsid w:val="008532AA"/>
    <w:rsid w:val="008E2ECB"/>
    <w:rsid w:val="008F68EC"/>
    <w:rsid w:val="009079BC"/>
    <w:rsid w:val="009B345A"/>
    <w:rsid w:val="009E0FFC"/>
    <w:rsid w:val="009F5CF8"/>
    <w:rsid w:val="00A60FAB"/>
    <w:rsid w:val="00AC6620"/>
    <w:rsid w:val="00B34166"/>
    <w:rsid w:val="00B918ED"/>
    <w:rsid w:val="00BA4E26"/>
    <w:rsid w:val="00D90D0E"/>
    <w:rsid w:val="00DA16B8"/>
    <w:rsid w:val="00DC3AC3"/>
    <w:rsid w:val="00E51894"/>
    <w:rsid w:val="00EC1D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C4E8B"/>
  <w15:chartTrackingRefBased/>
  <w15:docId w15:val="{96734562-5F6F-4CEE-BB01-93406823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DD4"/>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4A2D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A2D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2D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2D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2D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2D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2D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2D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2D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D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A2D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2D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2D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2D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2D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2D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2D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2DD4"/>
    <w:rPr>
      <w:rFonts w:eastAsiaTheme="majorEastAsia" w:cstheme="majorBidi"/>
      <w:color w:val="272727" w:themeColor="text1" w:themeTint="D8"/>
    </w:rPr>
  </w:style>
  <w:style w:type="paragraph" w:styleId="Title">
    <w:name w:val="Title"/>
    <w:basedOn w:val="Normal"/>
    <w:next w:val="Normal"/>
    <w:link w:val="TitleChar"/>
    <w:uiPriority w:val="10"/>
    <w:qFormat/>
    <w:rsid w:val="004A2D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2D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2D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2D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2DD4"/>
    <w:pPr>
      <w:spacing w:before="160"/>
      <w:jc w:val="center"/>
    </w:pPr>
    <w:rPr>
      <w:i/>
      <w:iCs/>
      <w:color w:val="404040" w:themeColor="text1" w:themeTint="BF"/>
    </w:rPr>
  </w:style>
  <w:style w:type="character" w:customStyle="1" w:styleId="QuoteChar">
    <w:name w:val="Quote Char"/>
    <w:basedOn w:val="DefaultParagraphFont"/>
    <w:link w:val="Quote"/>
    <w:uiPriority w:val="29"/>
    <w:rsid w:val="004A2DD4"/>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4A2DD4"/>
    <w:pPr>
      <w:ind w:left="720"/>
      <w:contextualSpacing/>
    </w:pPr>
  </w:style>
  <w:style w:type="character" w:styleId="IntenseEmphasis">
    <w:name w:val="Intense Emphasis"/>
    <w:basedOn w:val="DefaultParagraphFont"/>
    <w:uiPriority w:val="21"/>
    <w:qFormat/>
    <w:rsid w:val="004A2DD4"/>
    <w:rPr>
      <w:i/>
      <w:iCs/>
      <w:color w:val="0F4761" w:themeColor="accent1" w:themeShade="BF"/>
    </w:rPr>
  </w:style>
  <w:style w:type="paragraph" w:styleId="IntenseQuote">
    <w:name w:val="Intense Quote"/>
    <w:basedOn w:val="Normal"/>
    <w:next w:val="Normal"/>
    <w:link w:val="IntenseQuoteChar"/>
    <w:uiPriority w:val="30"/>
    <w:qFormat/>
    <w:rsid w:val="004A2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2DD4"/>
    <w:rPr>
      <w:i/>
      <w:iCs/>
      <w:color w:val="0F4761" w:themeColor="accent1" w:themeShade="BF"/>
    </w:rPr>
  </w:style>
  <w:style w:type="character" w:styleId="IntenseReference">
    <w:name w:val="Intense Reference"/>
    <w:basedOn w:val="DefaultParagraphFont"/>
    <w:uiPriority w:val="32"/>
    <w:qFormat/>
    <w:rsid w:val="004A2DD4"/>
    <w:rPr>
      <w:b/>
      <w:bCs/>
      <w:smallCaps/>
      <w:color w:val="0F4761" w:themeColor="accent1" w:themeShade="BF"/>
      <w:spacing w:val="5"/>
    </w:rPr>
  </w:style>
  <w:style w:type="paragraph" w:styleId="Header">
    <w:name w:val="header"/>
    <w:basedOn w:val="Normal"/>
    <w:link w:val="HeaderChar"/>
    <w:uiPriority w:val="99"/>
    <w:unhideWhenUsed/>
    <w:rsid w:val="004A2D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DD4"/>
    <w:rPr>
      <w:rFonts w:eastAsiaTheme="minorEastAsia"/>
      <w:kern w:val="0"/>
      <w:sz w:val="22"/>
      <w:szCs w:val="22"/>
      <w:lang w:val="en-US"/>
      <w14:ligatures w14:val="none"/>
    </w:rPr>
  </w:style>
  <w:style w:type="table" w:styleId="TableGrid">
    <w:name w:val="Table Grid"/>
    <w:basedOn w:val="TableNormal"/>
    <w:uiPriority w:val="39"/>
    <w:rsid w:val="004A2DD4"/>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N">
    <w:name w:val="IGN"/>
    <w:basedOn w:val="ListParagraph"/>
    <w:link w:val="IGNChar"/>
    <w:qFormat/>
    <w:rsid w:val="004A2DD4"/>
    <w:pPr>
      <w:numPr>
        <w:numId w:val="1"/>
      </w:numPr>
      <w:tabs>
        <w:tab w:val="num" w:pos="360"/>
      </w:tabs>
      <w:spacing w:before="240" w:after="240" w:line="240" w:lineRule="auto"/>
      <w:ind w:firstLine="0"/>
      <w:jc w:val="center"/>
    </w:pPr>
    <w:rPr>
      <w:rFonts w:ascii="Arial" w:eastAsia="Calibri" w:hAnsi="Arial" w:cs="Arial"/>
      <w:b/>
      <w:bCs/>
    </w:rPr>
  </w:style>
  <w:style w:type="character" w:customStyle="1" w:styleId="IGNChar">
    <w:name w:val="IGN Char"/>
    <w:basedOn w:val="DefaultParagraphFont"/>
    <w:link w:val="IGN"/>
    <w:rsid w:val="004A2DD4"/>
    <w:rPr>
      <w:rFonts w:ascii="Arial" w:eastAsia="Calibri" w:hAnsi="Arial" w:cs="Arial"/>
      <w:b/>
      <w:bCs/>
      <w:kern w:val="0"/>
      <w:lang w:val="en-US"/>
      <w14:ligatures w14:val="none"/>
    </w:rPr>
  </w:style>
  <w:style w:type="character" w:styleId="Hyperlink">
    <w:name w:val="Hyperlink"/>
    <w:basedOn w:val="DefaultParagraphFont"/>
    <w:uiPriority w:val="99"/>
    <w:unhideWhenUsed/>
    <w:rsid w:val="004A2DD4"/>
    <w:rPr>
      <w:color w:val="467886" w:themeColor="hyperlink"/>
      <w:u w:val="singl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4A2DD4"/>
  </w:style>
  <w:style w:type="character" w:styleId="UnresolvedMention">
    <w:name w:val="Unresolved Mention"/>
    <w:basedOn w:val="DefaultParagraphFont"/>
    <w:uiPriority w:val="99"/>
    <w:semiHidden/>
    <w:unhideWhenUsed/>
    <w:rsid w:val="004A2DD4"/>
    <w:rPr>
      <w:color w:val="605E5C"/>
      <w:shd w:val="clear" w:color="auto" w:fill="E1DFDD"/>
    </w:rPr>
  </w:style>
  <w:style w:type="character" w:styleId="Strong">
    <w:name w:val="Strong"/>
    <w:basedOn w:val="DefaultParagraphFont"/>
    <w:uiPriority w:val="22"/>
    <w:qFormat/>
    <w:rsid w:val="0047433E"/>
    <w:rPr>
      <w:b/>
      <w:bCs/>
    </w:rPr>
  </w:style>
  <w:style w:type="paragraph" w:styleId="Footer">
    <w:name w:val="footer"/>
    <w:basedOn w:val="Normal"/>
    <w:link w:val="FooterChar"/>
    <w:uiPriority w:val="99"/>
    <w:semiHidden/>
    <w:unhideWhenUsed/>
    <w:rsid w:val="005155F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155F8"/>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PDF/?uri=CELEX:02018L2001-20240716" TargetMode="External"/><Relationship Id="rId3" Type="http://schemas.openxmlformats.org/officeDocument/2006/relationships/settings" Target="settings.xml"/><Relationship Id="rId7" Type="http://schemas.openxmlformats.org/officeDocument/2006/relationships/hyperlink" Target="http://www.ambergrid.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rex.grexel.com/en/public/home"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52</TotalTime>
  <Pages>6</Pages>
  <Words>7024</Words>
  <Characters>4004</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11006</CharactersWithSpaces>
  <SharedDoc>false</SharedDoc>
  <HLinks>
    <vt:vector size="18" baseType="variant">
      <vt:variant>
        <vt:i4>2228273</vt:i4>
      </vt:variant>
      <vt:variant>
        <vt:i4>6</vt:i4>
      </vt:variant>
      <vt:variant>
        <vt:i4>0</vt:i4>
      </vt:variant>
      <vt:variant>
        <vt:i4>5</vt:i4>
      </vt:variant>
      <vt:variant>
        <vt:lpwstr>https://grex.grexel.com/en/public/home</vt:lpwstr>
      </vt:variant>
      <vt:variant>
        <vt:lpwstr/>
      </vt:variant>
      <vt:variant>
        <vt:i4>458772</vt:i4>
      </vt:variant>
      <vt:variant>
        <vt:i4>3</vt:i4>
      </vt:variant>
      <vt:variant>
        <vt:i4>0</vt:i4>
      </vt:variant>
      <vt:variant>
        <vt:i4>5</vt:i4>
      </vt:variant>
      <vt:variant>
        <vt:lpwstr>https://eur-lex.europa.eu/legal-content/LT/TXT/PDF/?uri=CELEX:02018L2001-20240716</vt:lpwstr>
      </vt:variant>
      <vt:variant>
        <vt:lpwstr/>
      </vt:variant>
      <vt:variant>
        <vt:i4>983052</vt:i4>
      </vt:variant>
      <vt:variant>
        <vt:i4>0</vt:i4>
      </vt:variant>
      <vt:variant>
        <vt:i4>0</vt:i4>
      </vt:variant>
      <vt:variant>
        <vt:i4>5</vt:i4>
      </vt:variant>
      <vt:variant>
        <vt:lpwstr>http://www.ambergrid.lt/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Lina Zviaginė</cp:lastModifiedBy>
  <cp:revision>24</cp:revision>
  <dcterms:created xsi:type="dcterms:W3CDTF">2026-01-06T16:53:00Z</dcterms:created>
  <dcterms:modified xsi:type="dcterms:W3CDTF">2026-01-09T10:10:00Z</dcterms:modified>
</cp:coreProperties>
</file>